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suppressAutoHyphens w:val="true"/>
        <w:bidi w:val="0"/>
        <w:spacing w:lineRule="auto" w:line="240" w:before="0" w:after="0"/>
        <w:ind w:hanging="0" w:left="8787" w:right="0"/>
        <w:jc w:val="left"/>
        <w:rPr>
          <w:highlight w:val="none"/>
          <w:shd w:fill="auto" w:val="clear"/>
        </w:rPr>
      </w:pPr>
      <w:r>
        <w:rPr>
          <w:rFonts w:ascii="Times New Roman" w:hAnsi="Times New Roman"/>
          <w:sz w:val="27"/>
          <w:szCs w:val="27"/>
          <w:shd w:fill="auto" w:val="clear"/>
          <w:lang w:val="uk-UA"/>
        </w:rPr>
        <w:t>ЗАТВЕРДЖЕНО</w:t>
      </w:r>
    </w:p>
    <w:p>
      <w:pPr>
        <w:pStyle w:val="Normal"/>
        <w:widowControl/>
        <w:suppressAutoHyphens w:val="true"/>
        <w:bidi w:val="0"/>
        <w:spacing w:lineRule="auto" w:line="240" w:before="0" w:after="0"/>
        <w:ind w:hanging="0" w:left="8787" w:right="0"/>
        <w:jc w:val="left"/>
        <w:rPr>
          <w:highlight w:val="none"/>
          <w:shd w:fill="auto" w:val="clear"/>
        </w:rPr>
      </w:pPr>
      <w:r>
        <w:rPr>
          <w:rFonts w:ascii="Times New Roman" w:hAnsi="Times New Roman"/>
          <w:sz w:val="27"/>
          <w:szCs w:val="27"/>
          <w:shd w:fill="auto" w:val="clear"/>
          <w:lang w:val="uk-UA"/>
        </w:rPr>
        <w:t>наказ Г</w:t>
      </w:r>
      <w:r>
        <w:rPr>
          <w:rFonts w:ascii="Times New Roman" w:hAnsi="Times New Roman"/>
          <w:sz w:val="27"/>
          <w:szCs w:val="27"/>
          <w:shd w:fill="auto" w:val="clear"/>
        </w:rPr>
        <w:t>оловного управління</w:t>
      </w:r>
    </w:p>
    <w:p>
      <w:pPr>
        <w:pStyle w:val="Normal"/>
        <w:widowControl/>
        <w:tabs>
          <w:tab w:val="clear" w:pos="708"/>
          <w:tab w:val="left" w:pos="4090" w:leader="none"/>
        </w:tabs>
        <w:suppressAutoHyphens w:val="true"/>
        <w:bidi w:val="0"/>
        <w:spacing w:lineRule="auto" w:line="240" w:before="0" w:after="0"/>
        <w:ind w:firstLine="8787" w:left="0" w:right="0"/>
        <w:jc w:val="left"/>
        <w:rPr>
          <w:highlight w:val="none"/>
          <w:shd w:fill="auto" w:val="clear"/>
        </w:rPr>
      </w:pPr>
      <w:r>
        <w:rPr>
          <w:rFonts w:ascii="Times New Roman" w:hAnsi="Times New Roman"/>
          <w:sz w:val="27"/>
          <w:szCs w:val="27"/>
          <w:shd w:fill="auto" w:val="clear"/>
        </w:rPr>
        <w:t>Пенсійного фонду України</w:t>
      </w:r>
    </w:p>
    <w:p>
      <w:pPr>
        <w:pStyle w:val="Normal"/>
        <w:widowControl/>
        <w:tabs>
          <w:tab w:val="clear" w:pos="708"/>
          <w:tab w:val="left" w:pos="4090" w:leader="none"/>
        </w:tabs>
        <w:suppressAutoHyphens w:val="true"/>
        <w:bidi w:val="0"/>
        <w:spacing w:lineRule="auto" w:line="240" w:before="0" w:after="0"/>
        <w:ind w:firstLine="8787" w:left="0" w:right="0"/>
        <w:jc w:val="left"/>
        <w:rPr>
          <w:highlight w:val="none"/>
          <w:shd w:fill="auto" w:val="clear"/>
        </w:rPr>
      </w:pPr>
      <w:r>
        <w:rPr>
          <w:rFonts w:ascii="Times New Roman" w:hAnsi="Times New Roman"/>
          <w:sz w:val="27"/>
          <w:szCs w:val="27"/>
          <w:shd w:fill="auto" w:val="clear"/>
        </w:rPr>
        <w:t>у Київській області</w:t>
      </w:r>
    </w:p>
    <w:p>
      <w:pPr>
        <w:pStyle w:val="Normal"/>
        <w:widowControl/>
        <w:tabs>
          <w:tab w:val="clear" w:pos="708"/>
          <w:tab w:val="left" w:pos="4090" w:leader="none"/>
        </w:tabs>
        <w:suppressAutoHyphens w:val="true"/>
        <w:bidi w:val="0"/>
        <w:spacing w:lineRule="auto" w:line="240" w:before="0" w:after="0"/>
        <w:ind w:firstLine="8787" w:left="0" w:right="0"/>
        <w:jc w:val="left"/>
        <w:rPr>
          <w:highlight w:val="none"/>
          <w:shd w:fill="auto" w:val="clear"/>
        </w:rPr>
      </w:pPr>
      <w:r>
        <w:rPr>
          <w:rFonts w:ascii="Times New Roman" w:hAnsi="Times New Roman"/>
          <w:sz w:val="27"/>
          <w:szCs w:val="27"/>
          <w:shd w:fill="auto" w:val="clear"/>
        </w:rPr>
        <w:t xml:space="preserve">від __________ 2026 р. № ____ </w:t>
      </w:r>
    </w:p>
    <w:p>
      <w:pPr>
        <w:pStyle w:val="NoSpacing"/>
        <w:jc w:val="center"/>
        <w:rPr>
          <w:highlight w:val="none"/>
          <w:shd w:fill="auto" w:val="clear"/>
        </w:rPr>
      </w:pPr>
      <w:r>
        <w:rPr>
          <w:b/>
          <w:sz w:val="24"/>
          <w:szCs w:val="24"/>
          <w:shd w:fill="auto" w:val="clear"/>
          <w:lang w:val="uk-UA"/>
        </w:rPr>
        <w:t xml:space="preserve">Заходи </w:t>
      </w:r>
    </w:p>
    <w:p>
      <w:pPr>
        <w:pStyle w:val="NoSpacing"/>
        <w:jc w:val="center"/>
        <w:rPr>
          <w:b/>
          <w:sz w:val="24"/>
          <w:szCs w:val="24"/>
          <w:lang w:val="uk-UA"/>
        </w:rPr>
      </w:pPr>
      <w:r>
        <w:rPr>
          <w:b/>
          <w:sz w:val="24"/>
          <w:szCs w:val="24"/>
          <w:lang w:val="uk-UA"/>
        </w:rPr>
        <w:t>Головного управління Пенсійного фонду України у Київській області щодо реалізації</w:t>
      </w:r>
    </w:p>
    <w:p>
      <w:pPr>
        <w:pStyle w:val="NoSpacing"/>
        <w:jc w:val="center"/>
        <w:rPr>
          <w:b/>
          <w:sz w:val="24"/>
          <w:szCs w:val="24"/>
          <w:lang w:val="uk-UA"/>
        </w:rPr>
      </w:pPr>
      <w:r>
        <w:rPr>
          <w:b/>
          <w:sz w:val="24"/>
          <w:szCs w:val="24"/>
          <w:lang w:val="uk-UA"/>
        </w:rPr>
        <w:t>Антикорупційної програми Пенсійного фонду України та його територіальних органів на 2026–2028 роки</w:t>
      </w:r>
    </w:p>
    <w:p>
      <w:pPr>
        <w:pStyle w:val="NoSpacing"/>
        <w:jc w:val="center"/>
        <w:rPr>
          <w:b/>
          <w:sz w:val="24"/>
          <w:szCs w:val="24"/>
          <w:lang w:val="uk-UA"/>
        </w:rPr>
      </w:pPr>
      <w:r>
        <w:rPr>
          <w:b/>
          <w:sz w:val="24"/>
          <w:szCs w:val="24"/>
          <w:lang w:val="uk-UA"/>
        </w:rPr>
      </w:r>
    </w:p>
    <w:tbl>
      <w:tblPr>
        <w:tblStyle w:val="a4"/>
        <w:tblW w:w="14596" w:type="dxa"/>
        <w:jc w:val="left"/>
        <w:tblInd w:w="0" w:type="dxa"/>
        <w:tblLayout w:type="fixed"/>
        <w:tblCellMar>
          <w:top w:w="55" w:type="dxa"/>
          <w:left w:w="108" w:type="dxa"/>
          <w:bottom w:w="55" w:type="dxa"/>
          <w:right w:w="108" w:type="dxa"/>
        </w:tblCellMar>
        <w:tblLook w:firstRow="1" w:noVBand="1" w:lastRow="0" w:firstColumn="1" w:lastColumn="0" w:noHBand="0" w:val="04a0"/>
      </w:tblPr>
      <w:tblGrid>
        <w:gridCol w:w="519"/>
        <w:gridCol w:w="4138"/>
        <w:gridCol w:w="2109"/>
        <w:gridCol w:w="2474"/>
        <w:gridCol w:w="5356"/>
      </w:tblGrid>
      <w:tr>
        <w:trPr>
          <w:tblHeader w:val="true"/>
        </w:trPr>
        <w:tc>
          <w:tcPr>
            <w:tcW w:w="519" w:type="dxa"/>
            <w:tcBorders/>
          </w:tcPr>
          <w:p>
            <w:pPr>
              <w:pStyle w:val="NoSpacing"/>
              <w:widowControl/>
              <w:suppressAutoHyphens w:val="true"/>
              <w:spacing w:before="0" w:after="0"/>
              <w:jc w:val="center"/>
              <w:rPr>
                <w:rFonts w:cs="Times New Roman"/>
                <w:b/>
                <w:sz w:val="24"/>
                <w:szCs w:val="24"/>
                <w:lang w:val="uk-UA"/>
              </w:rPr>
            </w:pPr>
            <w:r>
              <w:rPr>
                <w:rFonts w:eastAsia="맑은 고딕" w:cs="Times New Roman"/>
                <w:b/>
                <w:kern w:val="0"/>
                <w:sz w:val="24"/>
                <w:szCs w:val="24"/>
                <w:lang w:val="uk-UA" w:eastAsia="ko-KR" w:bidi="ar-SA"/>
              </w:rPr>
              <w:t xml:space="preserve">№ </w:t>
            </w:r>
            <w:r>
              <w:rPr>
                <w:rFonts w:eastAsia="맑은 고딕" w:cs="Times New Roman"/>
                <w:b/>
                <w:kern w:val="0"/>
                <w:sz w:val="24"/>
                <w:szCs w:val="24"/>
                <w:lang w:val="uk-UA" w:eastAsia="ko-KR" w:bidi="ar-SA"/>
              </w:rPr>
              <w:t>з/п</w:t>
            </w:r>
          </w:p>
        </w:tc>
        <w:tc>
          <w:tcPr>
            <w:tcW w:w="4138" w:type="dxa"/>
            <w:tcBorders/>
          </w:tcPr>
          <w:p>
            <w:pPr>
              <w:pStyle w:val="NoSpacing"/>
              <w:widowControl/>
              <w:suppressAutoHyphens w:val="true"/>
              <w:spacing w:before="0" w:after="0"/>
              <w:jc w:val="center"/>
              <w:rPr>
                <w:rFonts w:cs="Times New Roman"/>
                <w:b/>
                <w:sz w:val="24"/>
                <w:szCs w:val="24"/>
                <w:lang w:val="uk-UA"/>
              </w:rPr>
            </w:pPr>
            <w:r>
              <w:rPr>
                <w:rFonts w:eastAsia="맑은 고딕" w:cs="Times New Roman"/>
                <w:b/>
                <w:kern w:val="0"/>
                <w:sz w:val="24"/>
                <w:szCs w:val="24"/>
                <w:lang w:val="uk-UA" w:eastAsia="ko-KR" w:bidi="ar-SA"/>
              </w:rPr>
              <w:t>Найменування заходу</w:t>
            </w:r>
          </w:p>
        </w:tc>
        <w:tc>
          <w:tcPr>
            <w:tcW w:w="2109" w:type="dxa"/>
            <w:tcBorders/>
          </w:tcPr>
          <w:p>
            <w:pPr>
              <w:pStyle w:val="NoSpacing"/>
              <w:widowControl/>
              <w:suppressAutoHyphens w:val="true"/>
              <w:spacing w:before="0" w:after="0"/>
              <w:jc w:val="center"/>
              <w:rPr>
                <w:rFonts w:cs="Times New Roman"/>
                <w:b/>
                <w:sz w:val="24"/>
                <w:szCs w:val="24"/>
                <w:lang w:val="uk-UA"/>
              </w:rPr>
            </w:pPr>
            <w:r>
              <w:rPr>
                <w:rFonts w:eastAsia="맑은 고딕" w:cs="Times New Roman"/>
                <w:b/>
                <w:kern w:val="0"/>
                <w:sz w:val="24"/>
                <w:szCs w:val="24"/>
                <w:lang w:val="uk-UA" w:eastAsia="ko-KR" w:bidi="ar-SA"/>
              </w:rPr>
              <w:t>Строк виконання</w:t>
            </w:r>
          </w:p>
        </w:tc>
        <w:tc>
          <w:tcPr>
            <w:tcW w:w="2474" w:type="dxa"/>
            <w:tcBorders/>
          </w:tcPr>
          <w:p>
            <w:pPr>
              <w:pStyle w:val="NoSpacing"/>
              <w:widowControl/>
              <w:suppressAutoHyphens w:val="true"/>
              <w:spacing w:before="0" w:after="0"/>
              <w:jc w:val="center"/>
              <w:rPr>
                <w:rFonts w:cs="Times New Roman"/>
                <w:b/>
                <w:sz w:val="24"/>
                <w:szCs w:val="24"/>
                <w:lang w:val="uk-UA"/>
              </w:rPr>
            </w:pPr>
            <w:r>
              <w:rPr>
                <w:rFonts w:eastAsia="맑은 고딕" w:cs="Times New Roman"/>
                <w:b/>
                <w:kern w:val="0"/>
                <w:sz w:val="24"/>
                <w:szCs w:val="24"/>
                <w:lang w:val="uk-UA" w:eastAsia="ko-KR" w:bidi="ar-SA"/>
              </w:rPr>
              <w:t>Відповідальні особи (особа)</w:t>
            </w:r>
          </w:p>
        </w:tc>
        <w:tc>
          <w:tcPr>
            <w:tcW w:w="5356" w:type="dxa"/>
            <w:tcBorders/>
          </w:tcPr>
          <w:p>
            <w:pPr>
              <w:pStyle w:val="NoSpacing"/>
              <w:widowControl/>
              <w:suppressAutoHyphens w:val="true"/>
              <w:spacing w:before="0" w:after="0"/>
              <w:jc w:val="center"/>
              <w:rPr>
                <w:rFonts w:cs="Times New Roman"/>
                <w:b/>
                <w:sz w:val="24"/>
                <w:szCs w:val="24"/>
                <w:lang w:val="uk-UA"/>
              </w:rPr>
            </w:pPr>
            <w:r>
              <w:rPr>
                <w:rFonts w:eastAsia="맑은 고딕" w:cs="Times New Roman"/>
                <w:b/>
                <w:kern w:val="0"/>
                <w:sz w:val="24"/>
                <w:szCs w:val="24"/>
                <w:lang w:val="uk-UA" w:eastAsia="ko-KR" w:bidi="ar-SA"/>
              </w:rPr>
              <w:t>Індикатор виконання</w:t>
            </w:r>
          </w:p>
        </w:tc>
      </w:tr>
      <w:tr>
        <w:trPr/>
        <w:tc>
          <w:tcPr>
            <w:tcW w:w="14596" w:type="dxa"/>
            <w:gridSpan w:val="5"/>
            <w:tcBorders>
              <w:bottom w:val="nil"/>
            </w:tcBorders>
            <w:tcMar>
              <w:top w:w="0" w:type="dxa"/>
              <w:bottom w:w="0" w:type="dxa"/>
            </w:tcMar>
          </w:tcPr>
          <w:p>
            <w:pPr>
              <w:pStyle w:val="NoSpacing"/>
              <w:suppressAutoHyphens w:val="true"/>
              <w:jc w:val="center"/>
              <w:rPr>
                <w:b/>
                <w:bCs/>
                <w:sz w:val="24"/>
                <w:szCs w:val="24"/>
              </w:rPr>
            </w:pPr>
            <w:r>
              <w:rPr>
                <w:b/>
                <w:bCs/>
                <w:sz w:val="24"/>
                <w:szCs w:val="24"/>
                <w:lang w:val="uk-UA"/>
              </w:rPr>
              <w:t xml:space="preserve">Заходи з реалізації антикорупційної політики </w:t>
            </w:r>
            <w:r>
              <w:rPr>
                <w:b/>
                <w:bCs/>
                <w:sz w:val="24"/>
                <w:szCs w:val="24"/>
              </w:rPr>
              <w:t xml:space="preserve">Пенсійного фонду України та його територіальних органів </w:t>
            </w:r>
            <w:r>
              <w:rPr>
                <w:b/>
                <w:bCs/>
                <w:sz w:val="24"/>
                <w:szCs w:val="24"/>
                <w:lang w:val="uk-UA"/>
              </w:rPr>
              <w:t>(додатку 1 до Антикорупційної програми Пенсійного фонду України та його</w:t>
            </w:r>
          </w:p>
          <w:p>
            <w:pPr>
              <w:pStyle w:val="NoSpacing"/>
              <w:suppressAutoHyphens w:val="true"/>
              <w:jc w:val="center"/>
              <w:rPr>
                <w:b/>
                <w:bCs/>
                <w:sz w:val="24"/>
                <w:szCs w:val="24"/>
              </w:rPr>
            </w:pPr>
            <w:r>
              <w:rPr>
                <w:b/>
                <w:bCs/>
                <w:sz w:val="24"/>
                <w:szCs w:val="24"/>
              </w:rPr>
              <w:t>територіальних органів на 2026–2028 роки)</w:t>
            </w:r>
          </w:p>
        </w:tc>
      </w:tr>
      <w:tr>
        <w:trPr/>
        <w:tc>
          <w:tcPr>
            <w:tcW w:w="519" w:type="dxa"/>
            <w:tcBorders/>
          </w:tcPr>
          <w:p>
            <w:pPr>
              <w:pStyle w:val="NoSpacing"/>
              <w:widowControl/>
              <w:suppressAutoHyphens w:val="true"/>
              <w:spacing w:before="0" w:after="0"/>
              <w:jc w:val="center"/>
              <w:rPr>
                <w:rFonts w:cs="Times New Roman"/>
                <w:b/>
                <w:sz w:val="24"/>
                <w:szCs w:val="24"/>
                <w:lang w:val="uk-UA"/>
              </w:rPr>
            </w:pPr>
            <w:r>
              <w:rPr>
                <w:rFonts w:eastAsia="맑은 고딕" w:cs="Times New Roman"/>
                <w:b/>
                <w:kern w:val="0"/>
                <w:sz w:val="24"/>
                <w:szCs w:val="24"/>
                <w:lang w:val="uk-UA" w:eastAsia="ko-KR" w:bidi="ar-SA"/>
              </w:rPr>
              <w:t>1</w:t>
            </w:r>
          </w:p>
        </w:tc>
        <w:tc>
          <w:tcPr>
            <w:tcW w:w="4138" w:type="dxa"/>
            <w:tcBorders/>
          </w:tcPr>
          <w:p>
            <w:pPr>
              <w:pStyle w:val="NoSpacing"/>
              <w:widowControl/>
              <w:suppressAutoHyphens w:val="true"/>
              <w:spacing w:before="0" w:after="0"/>
              <w:jc w:val="center"/>
              <w:rPr>
                <w:rFonts w:cs="Times New Roman"/>
                <w:b/>
                <w:sz w:val="24"/>
                <w:szCs w:val="24"/>
                <w:lang w:val="uk-UA"/>
              </w:rPr>
            </w:pPr>
            <w:r>
              <w:rPr>
                <w:rFonts w:eastAsia="맑은 고딕" w:cs="Times New Roman"/>
                <w:b/>
                <w:kern w:val="0"/>
                <w:sz w:val="24"/>
                <w:szCs w:val="24"/>
                <w:lang w:val="uk-UA" w:eastAsia="ko-KR" w:bidi="ar-SA"/>
              </w:rPr>
              <w:t>2</w:t>
            </w:r>
          </w:p>
        </w:tc>
        <w:tc>
          <w:tcPr>
            <w:tcW w:w="2109" w:type="dxa"/>
            <w:tcBorders/>
          </w:tcPr>
          <w:p>
            <w:pPr>
              <w:pStyle w:val="NoSpacing"/>
              <w:widowControl/>
              <w:suppressAutoHyphens w:val="true"/>
              <w:spacing w:before="0" w:after="0"/>
              <w:jc w:val="center"/>
              <w:rPr>
                <w:rFonts w:cs="Times New Roman"/>
                <w:b/>
                <w:sz w:val="24"/>
                <w:szCs w:val="24"/>
                <w:lang w:val="uk-UA"/>
              </w:rPr>
            </w:pPr>
            <w:r>
              <w:rPr>
                <w:rFonts w:eastAsia="맑은 고딕" w:cs="Times New Roman"/>
                <w:b/>
                <w:kern w:val="0"/>
                <w:sz w:val="24"/>
                <w:szCs w:val="24"/>
                <w:lang w:val="uk-UA" w:eastAsia="ko-KR" w:bidi="ar-SA"/>
              </w:rPr>
              <w:t>3</w:t>
            </w:r>
          </w:p>
        </w:tc>
        <w:tc>
          <w:tcPr>
            <w:tcW w:w="2474" w:type="dxa"/>
            <w:tcBorders/>
          </w:tcPr>
          <w:p>
            <w:pPr>
              <w:pStyle w:val="NoSpacing"/>
              <w:widowControl/>
              <w:suppressAutoHyphens w:val="true"/>
              <w:spacing w:before="0" w:after="0"/>
              <w:jc w:val="center"/>
              <w:rPr>
                <w:rFonts w:cs="Times New Roman"/>
                <w:b/>
                <w:sz w:val="24"/>
                <w:szCs w:val="24"/>
                <w:lang w:val="uk-UA"/>
              </w:rPr>
            </w:pPr>
            <w:r>
              <w:rPr>
                <w:rFonts w:eastAsia="맑은 고딕" w:cs="Times New Roman"/>
                <w:b/>
                <w:kern w:val="0"/>
                <w:sz w:val="24"/>
                <w:szCs w:val="24"/>
                <w:lang w:val="uk-UA" w:eastAsia="ko-KR" w:bidi="ar-SA"/>
              </w:rPr>
              <w:t>4</w:t>
            </w:r>
          </w:p>
        </w:tc>
        <w:tc>
          <w:tcPr>
            <w:tcW w:w="5356" w:type="dxa"/>
            <w:tcBorders/>
          </w:tcPr>
          <w:p>
            <w:pPr>
              <w:pStyle w:val="NoSpacing"/>
              <w:widowControl/>
              <w:suppressAutoHyphens w:val="true"/>
              <w:spacing w:before="0" w:after="0"/>
              <w:jc w:val="center"/>
              <w:rPr>
                <w:rFonts w:cs="Times New Roman"/>
                <w:b/>
                <w:sz w:val="24"/>
                <w:szCs w:val="24"/>
                <w:lang w:val="uk-UA"/>
              </w:rPr>
            </w:pPr>
            <w:r>
              <w:rPr>
                <w:rFonts w:eastAsia="맑은 고딕" w:cs="Times New Roman"/>
                <w:b/>
                <w:kern w:val="0"/>
                <w:sz w:val="24"/>
                <w:szCs w:val="24"/>
                <w:lang w:val="uk-UA" w:eastAsia="ko-KR" w:bidi="ar-SA"/>
              </w:rPr>
              <w:t>5</w:t>
            </w:r>
          </w:p>
        </w:tc>
      </w:tr>
      <w:tr>
        <w:trPr/>
        <w:tc>
          <w:tcPr>
            <w:tcW w:w="519" w:type="dxa"/>
            <w:tcBorders>
              <w:bottom w:val="nil"/>
            </w:tcBorders>
            <w:tcMar>
              <w:top w:w="0" w:type="dxa"/>
              <w:bottom w:w="0" w:type="dxa"/>
            </w:tcMar>
          </w:tcPr>
          <w:p>
            <w:pPr>
              <w:pStyle w:val="NoSpacing"/>
              <w:widowControl/>
              <w:numPr>
                <w:ilvl w:val="0"/>
                <w:numId w:val="1"/>
              </w:numPr>
              <w:suppressAutoHyphens w:val="true"/>
              <w:spacing w:before="0" w:after="0"/>
              <w:ind w:hanging="0" w:left="0" w:right="4144"/>
              <w:jc w:val="center"/>
              <w:rPr>
                <w:rFonts w:cs="Times New Roman"/>
                <w:sz w:val="24"/>
                <w:szCs w:val="24"/>
                <w:lang w:val="uk-UA"/>
              </w:rPr>
            </w:pPr>
            <w:r>
              <w:rPr>
                <w:rFonts w:cs="Times New Roman"/>
                <w:sz w:val="24"/>
                <w:szCs w:val="24"/>
                <w:lang w:val="uk-UA"/>
              </w:rPr>
            </w:r>
          </w:p>
        </w:tc>
        <w:tc>
          <w:tcPr>
            <w:tcW w:w="4138" w:type="dxa"/>
            <w:tcBorders>
              <w:bottom w:val="nil"/>
            </w:tcBorders>
            <w:tcMar>
              <w:top w:w="0" w:type="dxa"/>
              <w:bottom w:w="0" w:type="dxa"/>
            </w:tcMar>
          </w:tcPr>
          <w:p>
            <w:pPr>
              <w:pStyle w:val="NoSpacing"/>
              <w:widowControl/>
              <w:suppressAutoHyphens w:val="true"/>
              <w:spacing w:before="0" w:after="0"/>
              <w:jc w:val="both"/>
              <w:rPr>
                <w:rFonts w:cs="Times New Roman"/>
                <w:sz w:val="24"/>
                <w:szCs w:val="24"/>
                <w:lang w:val="uk-UA"/>
              </w:rPr>
            </w:pPr>
            <w:r>
              <w:rPr>
                <w:rFonts w:cs="Times New Roman"/>
                <w:sz w:val="24"/>
                <w:szCs w:val="24"/>
                <w:lang w:val="uk-UA"/>
              </w:rPr>
              <w:t>Проведення антикорупційної експертизи проєктів внутрішніх організаційно-розпорядчих документів Головного управління Пенсійного фонду України у Київській області (далі — Головне управління)</w:t>
            </w:r>
          </w:p>
        </w:tc>
        <w:tc>
          <w:tcPr>
            <w:tcW w:w="2109"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Постійно</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(за наявності підстав)</w:t>
            </w:r>
          </w:p>
        </w:tc>
        <w:tc>
          <w:tcPr>
            <w:tcW w:w="2474"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Козуб В.В., керівники самостійних структурних підрозділів</w:t>
            </w:r>
          </w:p>
          <w:p>
            <w:pPr>
              <w:pStyle w:val="NoSpacing"/>
              <w:widowControl/>
              <w:suppressAutoHyphens w:val="true"/>
              <w:spacing w:before="0" w:after="0"/>
              <w:jc w:val="center"/>
              <w:rPr>
                <w:rFonts w:cs="Times New Roman"/>
                <w:sz w:val="24"/>
                <w:szCs w:val="24"/>
                <w:lang w:val="uk-UA"/>
              </w:rPr>
            </w:pPr>
            <w:r>
              <w:rPr>
                <w:rFonts w:cs="Times New Roman"/>
                <w:sz w:val="24"/>
                <w:szCs w:val="24"/>
                <w:lang w:val="uk-UA"/>
              </w:rPr>
            </w:r>
          </w:p>
        </w:tc>
        <w:tc>
          <w:tcPr>
            <w:tcW w:w="5356" w:type="dxa"/>
            <w:tcBorders>
              <w:bottom w:val="nil"/>
            </w:tcBorders>
            <w:tcMar>
              <w:top w:w="0" w:type="dxa"/>
              <w:bottom w:w="0" w:type="dxa"/>
            </w:tcMar>
          </w:tcPr>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1. Забезпечено візування уповноваженим підрозділом з питань запобігання та виявлення корупції проєктів наказів Головного управління з основної діяльності, адміністративно-господарських питань, кадрових питань (особового складу) залежно від їх видів</w:t>
            </w:r>
          </w:p>
        </w:tc>
      </w:tr>
      <w:tr>
        <w:trPr/>
        <w:tc>
          <w:tcPr>
            <w:tcW w:w="519" w:type="dxa"/>
            <w:tcBorders>
              <w:bottom w:val="nil"/>
            </w:tcBorders>
            <w:tcMar>
              <w:top w:w="0" w:type="dxa"/>
              <w:bottom w:w="0" w:type="dxa"/>
            </w:tcMar>
          </w:tcPr>
          <w:p>
            <w:pPr>
              <w:pStyle w:val="NoSpacing"/>
              <w:widowControl/>
              <w:numPr>
                <w:ilvl w:val="0"/>
                <w:numId w:val="1"/>
              </w:numPr>
              <w:suppressAutoHyphens w:val="true"/>
              <w:spacing w:before="0" w:after="0"/>
              <w:ind w:hanging="0" w:left="0" w:right="4144"/>
              <w:jc w:val="center"/>
              <w:rPr>
                <w:rFonts w:cs="Times New Roman"/>
                <w:sz w:val="24"/>
                <w:szCs w:val="24"/>
                <w:lang w:val="uk-UA"/>
              </w:rPr>
            </w:pPr>
            <w:r>
              <w:rPr>
                <w:rFonts w:cs="Times New Roman"/>
                <w:sz w:val="24"/>
                <w:szCs w:val="24"/>
                <w:lang w:val="uk-UA"/>
              </w:rPr>
            </w:r>
          </w:p>
        </w:tc>
        <w:tc>
          <w:tcPr>
            <w:tcW w:w="4138" w:type="dxa"/>
            <w:tcBorders>
              <w:bottom w:val="nil"/>
            </w:tcBorders>
            <w:tcMar>
              <w:top w:w="0" w:type="dxa"/>
              <w:bottom w:w="0" w:type="dxa"/>
            </w:tcMar>
          </w:tcPr>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Доведення до працівників Головного управління змісту Антикорупційної програми Пенсійного фонду та його територіальних органів на 2026–2028 роки</w:t>
            </w:r>
          </w:p>
        </w:tc>
        <w:tc>
          <w:tcPr>
            <w:tcW w:w="2109"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Постійно</w:t>
            </w:r>
          </w:p>
        </w:tc>
        <w:tc>
          <w:tcPr>
            <w:tcW w:w="2474"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Козуб В.В.</w:t>
            </w:r>
          </w:p>
        </w:tc>
        <w:tc>
          <w:tcPr>
            <w:tcW w:w="5356" w:type="dxa"/>
            <w:tcBorders>
              <w:bottom w:val="nil"/>
            </w:tcBorders>
            <w:tcMar>
              <w:top w:w="0" w:type="dxa"/>
              <w:bottom w:w="0" w:type="dxa"/>
            </w:tcMar>
          </w:tcPr>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1. Забезпечено ознайомлення працівників (у тому числі новопризначених) Головного управління зі змістом Антикорупційної програми Пенсійного фонду та його територіальних органів на 2026–2028 роки</w:t>
            </w:r>
          </w:p>
        </w:tc>
      </w:tr>
      <w:tr>
        <w:trPr/>
        <w:tc>
          <w:tcPr>
            <w:tcW w:w="519" w:type="dxa"/>
            <w:tcBorders>
              <w:bottom w:val="nil"/>
            </w:tcBorders>
            <w:tcMar>
              <w:top w:w="0" w:type="dxa"/>
              <w:bottom w:w="0" w:type="dxa"/>
            </w:tcMar>
          </w:tcPr>
          <w:p>
            <w:pPr>
              <w:pStyle w:val="NoSpacing"/>
              <w:widowControl/>
              <w:numPr>
                <w:ilvl w:val="0"/>
                <w:numId w:val="1"/>
              </w:numPr>
              <w:suppressAutoHyphens w:val="true"/>
              <w:spacing w:before="0" w:after="0"/>
              <w:ind w:hanging="0" w:left="0" w:right="4144"/>
              <w:jc w:val="center"/>
              <w:rPr>
                <w:rFonts w:cs="Times New Roman"/>
                <w:sz w:val="24"/>
                <w:szCs w:val="24"/>
                <w:lang w:val="uk-UA"/>
              </w:rPr>
            </w:pPr>
            <w:r>
              <w:rPr>
                <w:rFonts w:cs="Times New Roman"/>
                <w:sz w:val="24"/>
                <w:szCs w:val="24"/>
                <w:lang w:val="uk-UA"/>
              </w:rPr>
            </w:r>
          </w:p>
        </w:tc>
        <w:tc>
          <w:tcPr>
            <w:tcW w:w="4138" w:type="dxa"/>
            <w:tcBorders>
              <w:bottom w:val="nil"/>
            </w:tcBorders>
            <w:tcMar>
              <w:top w:w="0" w:type="dxa"/>
              <w:bottom w:w="0" w:type="dxa"/>
            </w:tcMar>
          </w:tcPr>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Організація виконання Головним управлінням завдань та заходів, визначених Антикорупційною програмою Пенсійного фонду та його територіальних органів на 2026–2028 роки (в межах компетенції Головного управління)</w:t>
            </w:r>
          </w:p>
          <w:p>
            <w:pPr>
              <w:pStyle w:val="NoSpacing"/>
              <w:widowControl/>
              <w:suppressAutoHyphens w:val="true"/>
              <w:spacing w:before="0" w:after="0"/>
              <w:jc w:val="both"/>
              <w:rPr>
                <w:rFonts w:cs="Times New Roman"/>
                <w:sz w:val="24"/>
                <w:szCs w:val="24"/>
                <w:lang w:val="uk-UA"/>
              </w:rPr>
            </w:pPr>
            <w:r>
              <w:rPr>
                <w:rFonts w:cs="Times New Roman"/>
                <w:sz w:val="24"/>
                <w:szCs w:val="24"/>
                <w:lang w:val="uk-UA"/>
              </w:rPr>
            </w:r>
          </w:p>
        </w:tc>
        <w:tc>
          <w:tcPr>
            <w:tcW w:w="2109"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У строки, визначені Антикорупційною програмою Пенсійного фонду та його територіальних органів на 2026–2028 роки</w:t>
            </w:r>
          </w:p>
        </w:tc>
        <w:tc>
          <w:tcPr>
            <w:tcW w:w="2474"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Фатхутдінов В.Г.</w:t>
            </w:r>
          </w:p>
        </w:tc>
        <w:tc>
          <w:tcPr>
            <w:tcW w:w="5356" w:type="dxa"/>
            <w:tcBorders>
              <w:bottom w:val="nil"/>
            </w:tcBorders>
            <w:tcMar>
              <w:top w:w="0" w:type="dxa"/>
              <w:bottom w:w="0" w:type="dxa"/>
            </w:tcMar>
          </w:tcPr>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1. Наказом Головного управління визначено заходи щодо реалізації Антикорупційної програми Пенсійного фонду України та його територіальних органів на 2026–2028 роки (в межах компетенції Головного управління).</w:t>
            </w:r>
          </w:p>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2. Забезпечено надання Сектору з питань запобігання та виявлення корупції Пенсійного фонду звітної інформації про виконання заходів щодо реалізації Антикорупційної програми Пенсійного фонду та його територіальних органів на 2026–2028 роки</w:t>
            </w:r>
          </w:p>
        </w:tc>
      </w:tr>
      <w:tr>
        <w:trPr/>
        <w:tc>
          <w:tcPr>
            <w:tcW w:w="519" w:type="dxa"/>
            <w:tcBorders>
              <w:bottom w:val="nil"/>
            </w:tcBorders>
            <w:tcMar>
              <w:top w:w="0" w:type="dxa"/>
              <w:bottom w:w="0" w:type="dxa"/>
            </w:tcMar>
          </w:tcPr>
          <w:p>
            <w:pPr>
              <w:pStyle w:val="NoSpacing"/>
              <w:widowControl/>
              <w:numPr>
                <w:ilvl w:val="0"/>
                <w:numId w:val="1"/>
              </w:numPr>
              <w:suppressAutoHyphens w:val="true"/>
              <w:spacing w:before="0" w:after="0"/>
              <w:ind w:hanging="0" w:left="0" w:right="4144"/>
              <w:jc w:val="center"/>
              <w:rPr>
                <w:rFonts w:cs="Times New Roman"/>
                <w:sz w:val="24"/>
                <w:szCs w:val="24"/>
                <w:lang w:val="uk-UA"/>
              </w:rPr>
            </w:pPr>
            <w:r>
              <w:rPr>
                <w:rFonts w:cs="Times New Roman"/>
                <w:sz w:val="24"/>
                <w:szCs w:val="24"/>
                <w:lang w:val="uk-UA"/>
              </w:rPr>
            </w:r>
          </w:p>
        </w:tc>
        <w:tc>
          <w:tcPr>
            <w:tcW w:w="4138" w:type="dxa"/>
            <w:tcBorders>
              <w:bottom w:val="nil"/>
            </w:tcBorders>
            <w:tcMar>
              <w:top w:w="0" w:type="dxa"/>
              <w:bottom w:w="0" w:type="dxa"/>
            </w:tcMar>
          </w:tcPr>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Здійснення моніторингу та оцінки виконання заходів Головного управління щодо реалізації Антикорупційної програми Пенсійного фонду та його територіальних органів на 2026–2028 роки</w:t>
            </w:r>
          </w:p>
        </w:tc>
        <w:tc>
          <w:tcPr>
            <w:tcW w:w="2109"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у строки, визначені Антикорупційною програмою Пенсійного фонду та його територіальних органів на 2026–2028 роки</w:t>
            </w:r>
          </w:p>
        </w:tc>
        <w:tc>
          <w:tcPr>
            <w:tcW w:w="2474"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Козуб В.В.</w:t>
            </w:r>
          </w:p>
        </w:tc>
        <w:tc>
          <w:tcPr>
            <w:tcW w:w="5356" w:type="dxa"/>
            <w:tcBorders>
              <w:bottom w:val="nil"/>
            </w:tcBorders>
            <w:tcMar>
              <w:top w:w="0" w:type="dxa"/>
              <w:bottom w:w="0" w:type="dxa"/>
            </w:tcMar>
          </w:tcPr>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1. Підготовлено звіт за результатами моніторингу та оцінки виконання заходів Головного управління щодо реалізації Антикорупційної програми Пенсійного фонду та його територіальних органів на 2026–2028 роки.</w:t>
            </w:r>
          </w:p>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2. Опубліковано інформацію за результатами моніторингу та оцінки виконання заходів Головного управління щодо реалізації Антикорупційної програми Пенсійного фонду та його територіальних органів на 2026–2028 роки на інформаційній сторінці Головного управління вебпорталу електронних послуг Пенсійного фонду</w:t>
            </w:r>
          </w:p>
        </w:tc>
      </w:tr>
      <w:tr>
        <w:trPr/>
        <w:tc>
          <w:tcPr>
            <w:tcW w:w="519" w:type="dxa"/>
            <w:tcBorders>
              <w:bottom w:val="nil"/>
            </w:tcBorders>
            <w:tcMar>
              <w:top w:w="0" w:type="dxa"/>
              <w:bottom w:w="0" w:type="dxa"/>
            </w:tcMar>
          </w:tcPr>
          <w:p>
            <w:pPr>
              <w:pStyle w:val="NoSpacing"/>
              <w:widowControl/>
              <w:numPr>
                <w:ilvl w:val="0"/>
                <w:numId w:val="1"/>
              </w:numPr>
              <w:suppressAutoHyphens w:val="true"/>
              <w:spacing w:before="0" w:after="0"/>
              <w:ind w:hanging="0" w:left="0" w:right="4144"/>
              <w:jc w:val="center"/>
              <w:rPr>
                <w:rFonts w:cs="Times New Roman"/>
                <w:sz w:val="24"/>
                <w:szCs w:val="24"/>
                <w:lang w:val="uk-UA"/>
              </w:rPr>
            </w:pPr>
            <w:r>
              <w:rPr>
                <w:rFonts w:cs="Times New Roman"/>
                <w:sz w:val="24"/>
                <w:szCs w:val="24"/>
                <w:lang w:val="uk-UA"/>
              </w:rPr>
            </w:r>
          </w:p>
        </w:tc>
        <w:tc>
          <w:tcPr>
            <w:tcW w:w="4138" w:type="dxa"/>
            <w:tcBorders>
              <w:bottom w:val="nil"/>
            </w:tcBorders>
            <w:tcMar>
              <w:top w:w="0" w:type="dxa"/>
              <w:bottom w:w="0" w:type="dxa"/>
            </w:tcMar>
          </w:tcPr>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Проведення моніторингу змін до антикорупційного законодавства з метою своєчасного коригування заходів, спрямованих на запобігання корупційним та пов’язаним із корупцією правопорушенням</w:t>
            </w:r>
          </w:p>
        </w:tc>
        <w:tc>
          <w:tcPr>
            <w:tcW w:w="2109"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Постійно</w:t>
            </w:r>
          </w:p>
        </w:tc>
        <w:tc>
          <w:tcPr>
            <w:tcW w:w="2474"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Козуб В.В.</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(в межах компетенції)</w:t>
            </w:r>
          </w:p>
        </w:tc>
        <w:tc>
          <w:tcPr>
            <w:tcW w:w="5356" w:type="dxa"/>
            <w:tcBorders>
              <w:bottom w:val="nil"/>
            </w:tcBorders>
            <w:tcMar>
              <w:top w:w="0" w:type="dxa"/>
              <w:bottom w:w="0" w:type="dxa"/>
            </w:tcMar>
          </w:tcPr>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1. Забезпечено здійснення моніторингу змін антикорупційного законодавства України.</w:t>
            </w:r>
          </w:p>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2. Здійснено коригування відповідних заходів (у разі потреби)</w:t>
            </w:r>
          </w:p>
        </w:tc>
      </w:tr>
      <w:tr>
        <w:trPr/>
        <w:tc>
          <w:tcPr>
            <w:tcW w:w="519" w:type="dxa"/>
            <w:tcBorders>
              <w:bottom w:val="nil"/>
            </w:tcBorders>
            <w:tcMar>
              <w:top w:w="0" w:type="dxa"/>
              <w:bottom w:w="0" w:type="dxa"/>
            </w:tcMar>
          </w:tcPr>
          <w:p>
            <w:pPr>
              <w:pStyle w:val="NoSpacing"/>
              <w:widowControl/>
              <w:numPr>
                <w:ilvl w:val="0"/>
                <w:numId w:val="1"/>
              </w:numPr>
              <w:suppressAutoHyphens w:val="true"/>
              <w:spacing w:before="0" w:after="0"/>
              <w:ind w:hanging="0" w:left="0" w:right="4144"/>
              <w:jc w:val="center"/>
              <w:rPr>
                <w:rFonts w:cs="Times New Roman"/>
                <w:sz w:val="24"/>
                <w:szCs w:val="24"/>
                <w:lang w:val="uk-UA"/>
              </w:rPr>
            </w:pPr>
            <w:r>
              <w:rPr>
                <w:rFonts w:cs="Times New Roman"/>
                <w:sz w:val="24"/>
                <w:szCs w:val="24"/>
                <w:lang w:val="uk-UA"/>
              </w:rPr>
            </w:r>
          </w:p>
        </w:tc>
        <w:tc>
          <w:tcPr>
            <w:tcW w:w="4138" w:type="dxa"/>
            <w:tcBorders>
              <w:bottom w:val="nil"/>
            </w:tcBorders>
            <w:tcMar>
              <w:top w:w="0" w:type="dxa"/>
              <w:bottom w:w="0" w:type="dxa"/>
            </w:tcMar>
          </w:tcPr>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Надання методичної та консультаційної допомоги з питань додержання законодавства щодо запобігання корупції працівникам Головного управління</w:t>
            </w:r>
          </w:p>
        </w:tc>
        <w:tc>
          <w:tcPr>
            <w:tcW w:w="2109"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Постійно</w:t>
            </w:r>
          </w:p>
        </w:tc>
        <w:tc>
          <w:tcPr>
            <w:tcW w:w="2474"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Козуб В.В.,</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Литвинюк О.В.,</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Бількевич О.А.,</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Таран В.Г.</w:t>
            </w:r>
          </w:p>
        </w:tc>
        <w:tc>
          <w:tcPr>
            <w:tcW w:w="5356" w:type="dxa"/>
            <w:tcBorders>
              <w:bottom w:val="nil"/>
            </w:tcBorders>
            <w:tcMar>
              <w:top w:w="0" w:type="dxa"/>
              <w:bottom w:w="0" w:type="dxa"/>
            </w:tcMar>
          </w:tcPr>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1. Забезпечено своєчасне надання методичної та консультаційної допомоги з питань додержання законодавства щодо запобігання корупції працівникам Головного управління, про що обліковується у відповідному журналі</w:t>
            </w:r>
          </w:p>
        </w:tc>
      </w:tr>
      <w:tr>
        <w:trPr/>
        <w:tc>
          <w:tcPr>
            <w:tcW w:w="519" w:type="dxa"/>
            <w:tcBorders>
              <w:bottom w:val="nil"/>
            </w:tcBorders>
            <w:tcMar>
              <w:top w:w="0" w:type="dxa"/>
              <w:bottom w:w="0" w:type="dxa"/>
            </w:tcMar>
          </w:tcPr>
          <w:p>
            <w:pPr>
              <w:pStyle w:val="NoSpacing"/>
              <w:widowControl/>
              <w:numPr>
                <w:ilvl w:val="0"/>
                <w:numId w:val="1"/>
              </w:numPr>
              <w:suppressAutoHyphens w:val="true"/>
              <w:spacing w:before="0" w:after="0"/>
              <w:ind w:hanging="0" w:left="0" w:right="4144"/>
              <w:jc w:val="center"/>
              <w:rPr>
                <w:rFonts w:cs="Times New Roman"/>
                <w:sz w:val="24"/>
                <w:szCs w:val="24"/>
                <w:lang w:val="uk-UA"/>
              </w:rPr>
            </w:pPr>
            <w:r>
              <w:rPr>
                <w:rFonts w:cs="Times New Roman"/>
                <w:sz w:val="24"/>
                <w:szCs w:val="24"/>
                <w:lang w:val="uk-UA"/>
              </w:rPr>
            </w:r>
          </w:p>
        </w:tc>
        <w:tc>
          <w:tcPr>
            <w:tcW w:w="4138" w:type="dxa"/>
            <w:tcBorders>
              <w:bottom w:val="nil"/>
            </w:tcBorders>
            <w:tcMar>
              <w:top w:w="0" w:type="dxa"/>
              <w:bottom w:w="0" w:type="dxa"/>
            </w:tcMar>
          </w:tcPr>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Проведення ознайомлення з основними вимогами, обмеженнями та заборонами, встановленими Законом України “Про запобігання корупції”, в тому числі у сфері захисту викривачів та правил етичної поведінки новопризначених працівників, а також осіб, які проходять у Головному управлінні службу чи навчання або виконують певну роботу; осіб, які припиняють діяльність, пов’язану з виконанням функцій держави</w:t>
            </w:r>
          </w:p>
        </w:tc>
        <w:tc>
          <w:tcPr>
            <w:tcW w:w="2109"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Постійно</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(за потреби)</w:t>
            </w:r>
          </w:p>
          <w:p>
            <w:pPr>
              <w:pStyle w:val="NoSpacing"/>
              <w:widowControl/>
              <w:suppressAutoHyphens w:val="true"/>
              <w:spacing w:before="0" w:after="0"/>
              <w:jc w:val="center"/>
              <w:rPr>
                <w:rFonts w:cs="Times New Roman"/>
                <w:sz w:val="24"/>
                <w:szCs w:val="24"/>
                <w:lang w:val="uk-UA"/>
              </w:rPr>
            </w:pPr>
            <w:r>
              <w:rPr>
                <w:rFonts w:cs="Times New Roman"/>
                <w:sz w:val="24"/>
                <w:szCs w:val="24"/>
                <w:lang w:val="uk-UA"/>
              </w:rPr>
            </w:r>
          </w:p>
        </w:tc>
        <w:tc>
          <w:tcPr>
            <w:tcW w:w="2474"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Козуб В.В.</w:t>
            </w:r>
          </w:p>
        </w:tc>
        <w:tc>
          <w:tcPr>
            <w:tcW w:w="5356" w:type="dxa"/>
            <w:tcBorders>
              <w:bottom w:val="nil"/>
            </w:tcBorders>
            <w:tcMar>
              <w:top w:w="0" w:type="dxa"/>
              <w:bottom w:w="0" w:type="dxa"/>
            </w:tcMar>
          </w:tcPr>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1. Забезпечено своєчасну актуалізацію пам’яток про основні вимоги, обмеження та заборони, встановлені Законом України “Про запобігання корупції”, у тому числі у сфері захисту викривачів і правил етичної поведінки (за наявності підстав).</w:t>
            </w:r>
          </w:p>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2. Своєчасне (протягом 3х робочих днів) ознайомлення новопризначених працівників, а також осіб, які проходять у Головному управлінні службу чи навчання або виконують певну роботу; осіб, які припиняють діяльність, пов’язану з виконанням функцій держави</w:t>
            </w:r>
          </w:p>
        </w:tc>
      </w:tr>
      <w:tr>
        <w:trPr/>
        <w:tc>
          <w:tcPr>
            <w:tcW w:w="519" w:type="dxa"/>
            <w:tcBorders>
              <w:bottom w:val="nil"/>
            </w:tcBorders>
            <w:tcMar>
              <w:top w:w="0" w:type="dxa"/>
              <w:bottom w:w="0" w:type="dxa"/>
            </w:tcMar>
          </w:tcPr>
          <w:p>
            <w:pPr>
              <w:pStyle w:val="NoSpacing"/>
              <w:widowControl/>
              <w:numPr>
                <w:ilvl w:val="0"/>
                <w:numId w:val="1"/>
              </w:numPr>
              <w:suppressAutoHyphens w:val="true"/>
              <w:spacing w:before="0" w:after="0"/>
              <w:ind w:hanging="0" w:left="0" w:right="4144"/>
              <w:jc w:val="center"/>
              <w:rPr>
                <w:rFonts w:cs="Times New Roman"/>
                <w:sz w:val="24"/>
                <w:szCs w:val="24"/>
                <w:lang w:val="uk-UA"/>
              </w:rPr>
            </w:pPr>
            <w:r>
              <w:rPr>
                <w:rFonts w:cs="Times New Roman"/>
                <w:sz w:val="24"/>
                <w:szCs w:val="24"/>
                <w:lang w:val="uk-UA"/>
              </w:rPr>
            </w:r>
          </w:p>
        </w:tc>
        <w:tc>
          <w:tcPr>
            <w:tcW w:w="4138" w:type="dxa"/>
            <w:tcBorders>
              <w:bottom w:val="nil"/>
            </w:tcBorders>
            <w:tcMar>
              <w:top w:w="0" w:type="dxa"/>
              <w:bottom w:w="0" w:type="dxa"/>
            </w:tcMar>
          </w:tcPr>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Організація та проведення деклараційних кампаній та надання працівникам Головного управління консультаційної допомоги в заповненні декларацій особи, уповноваженої на виконання функцій держави або місцевого самоврядування (далі – декларація)</w:t>
            </w:r>
          </w:p>
        </w:tc>
        <w:tc>
          <w:tcPr>
            <w:tcW w:w="2109"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Постійно</w:t>
            </w:r>
          </w:p>
        </w:tc>
        <w:tc>
          <w:tcPr>
            <w:tcW w:w="2474"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Козуб В.В.,</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Литвинюк О.В.,</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Бількевич О.А.,</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Таран В.Г.</w:t>
            </w:r>
          </w:p>
        </w:tc>
        <w:tc>
          <w:tcPr>
            <w:tcW w:w="5356" w:type="dxa"/>
            <w:tcBorders>
              <w:bottom w:val="nil"/>
            </w:tcBorders>
            <w:tcMar>
              <w:top w:w="0" w:type="dxa"/>
              <w:bottom w:w="0" w:type="dxa"/>
            </w:tcMar>
          </w:tcPr>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1. Забезпечено своєчасну організацію деклараційних кампаній, актуалізацію інформаційно-роз’яснювального матеріалу у сфері фінансового контролю.</w:t>
            </w:r>
          </w:p>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2. Вжито заходів щодо проведення навчальних заходів та умов для надання працівникам Головного управління консультаційної допомоги в заповненні декларацій особи, уповноваженої на виконання функцій держави або місцевого самоврядування.</w:t>
            </w:r>
          </w:p>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 xml:space="preserve">3. Вжито заходів щодо своєчасного інформування </w:t>
            </w:r>
            <w:r>
              <w:rPr>
                <w:rFonts w:eastAsia="맑은 고딕" w:cs="Times New Roman"/>
                <w:kern w:val="0"/>
                <w:sz w:val="24"/>
                <w:szCs w:val="24"/>
                <w:shd w:fill="FFFFFF" w:val="clear"/>
                <w:lang w:val="uk-UA" w:eastAsia="ko-KR" w:bidi="ar-SA"/>
              </w:rPr>
              <w:t>суб’єктів декларування, які працюють у Головному управлінні та перебувають у відпустці по догляду за дитиною до досягнення нею трирічного віку</w:t>
            </w:r>
          </w:p>
        </w:tc>
      </w:tr>
      <w:tr>
        <w:trPr/>
        <w:tc>
          <w:tcPr>
            <w:tcW w:w="519" w:type="dxa"/>
            <w:tcBorders>
              <w:bottom w:val="nil"/>
            </w:tcBorders>
            <w:tcMar>
              <w:top w:w="0" w:type="dxa"/>
              <w:bottom w:w="0" w:type="dxa"/>
            </w:tcMar>
          </w:tcPr>
          <w:p>
            <w:pPr>
              <w:pStyle w:val="NoSpacing"/>
              <w:widowControl/>
              <w:numPr>
                <w:ilvl w:val="0"/>
                <w:numId w:val="1"/>
              </w:numPr>
              <w:suppressAutoHyphens w:val="true"/>
              <w:spacing w:before="0" w:after="0"/>
              <w:ind w:hanging="0" w:left="0" w:right="4144"/>
              <w:jc w:val="center"/>
              <w:rPr>
                <w:rFonts w:cs="Times New Roman"/>
                <w:sz w:val="24"/>
                <w:szCs w:val="24"/>
                <w:lang w:val="uk-UA"/>
              </w:rPr>
            </w:pPr>
            <w:r>
              <w:rPr>
                <w:rFonts w:cs="Times New Roman"/>
                <w:sz w:val="24"/>
                <w:szCs w:val="24"/>
                <w:lang w:val="uk-UA"/>
              </w:rPr>
            </w:r>
          </w:p>
        </w:tc>
        <w:tc>
          <w:tcPr>
            <w:tcW w:w="4138" w:type="dxa"/>
            <w:tcBorders>
              <w:bottom w:val="nil"/>
            </w:tcBorders>
            <w:tcMar>
              <w:top w:w="0" w:type="dxa"/>
              <w:bottom w:w="0" w:type="dxa"/>
            </w:tcMar>
          </w:tcPr>
          <w:p>
            <w:pPr>
              <w:pStyle w:val="NoSpacing"/>
              <w:widowControl/>
              <w:suppressAutoHyphens w:val="true"/>
              <w:spacing w:before="0" w:after="0"/>
              <w:jc w:val="both"/>
              <w:rPr>
                <w:rFonts w:cs="Times New Roman"/>
                <w:sz w:val="24"/>
                <w:szCs w:val="24"/>
                <w:shd w:fill="FFFFFF" w:val="clear"/>
                <w:lang w:val="uk-UA"/>
              </w:rPr>
            </w:pPr>
            <w:r>
              <w:rPr>
                <w:rFonts w:eastAsia="맑은 고딕" w:cs="Times New Roman"/>
                <w:kern w:val="0"/>
                <w:sz w:val="24"/>
                <w:szCs w:val="24"/>
                <w:shd w:fill="FFFFFF" w:val="clear"/>
                <w:lang w:val="uk-UA" w:eastAsia="ko-KR" w:bidi="ar-SA"/>
              </w:rPr>
              <w:t>Проведення перевірки факту подання суб</w:t>
            </w:r>
            <w:r>
              <w:rPr>
                <w:rFonts w:eastAsia="맑은 고딕" w:cs="Times New Roman"/>
                <w:kern w:val="0"/>
                <w:sz w:val="24"/>
                <w:szCs w:val="24"/>
                <w:shd w:fill="FFFFFF" w:val="clear"/>
                <w:lang w:val="ru-RU" w:eastAsia="ko-KR" w:bidi="ar-SA"/>
              </w:rPr>
              <w:t>’</w:t>
            </w:r>
            <w:r>
              <w:rPr>
                <w:rFonts w:eastAsia="맑은 고딕" w:cs="Times New Roman"/>
                <w:kern w:val="0"/>
                <w:sz w:val="24"/>
                <w:szCs w:val="24"/>
                <w:shd w:fill="FFFFFF" w:val="clear"/>
                <w:lang w:val="uk-UA" w:eastAsia="ko-KR" w:bidi="ar-SA"/>
              </w:rPr>
              <w:t xml:space="preserve">єктами декларування, які працюють у Головному управлінні (працювали або входять чи входили до складу утвореної у Головному управлінні конкурсної комісії), відповідно до </w:t>
            </w:r>
            <w:r>
              <w:rPr>
                <w:rFonts w:eastAsia="맑은 고딕" w:cs="Times New Roman"/>
                <w:kern w:val="0"/>
                <w:sz w:val="24"/>
                <w:szCs w:val="24"/>
                <w:lang w:val="uk-UA" w:eastAsia="ko-KR" w:bidi="ar-SA"/>
              </w:rPr>
              <w:t>частини першої</w:t>
            </w:r>
            <w:r>
              <w:rPr>
                <w:rFonts w:eastAsia="맑은 고딕" w:cs="Times New Roman"/>
                <w:kern w:val="0"/>
                <w:sz w:val="24"/>
                <w:szCs w:val="24"/>
                <w:shd w:fill="FFFFFF" w:val="clear"/>
                <w:lang w:val="uk-UA" w:eastAsia="ko-KR" w:bidi="ar-SA"/>
              </w:rPr>
              <w:t xml:space="preserve"> статті 51</w:t>
            </w:r>
            <w:r>
              <w:rPr>
                <w:rFonts w:eastAsia="맑은 고딕" w:cs="Times New Roman"/>
                <w:kern w:val="0"/>
                <w:sz w:val="24"/>
                <w:szCs w:val="24"/>
                <w:shd w:fill="FFFFFF" w:val="clear"/>
                <w:vertAlign w:val="superscript"/>
                <w:lang w:val="uk-UA" w:eastAsia="ko-KR" w:bidi="ar-SA"/>
              </w:rPr>
              <w:t>2</w:t>
            </w:r>
            <w:r>
              <w:rPr>
                <w:rFonts w:eastAsia="맑은 고딕" w:cs="Times New Roman"/>
                <w:kern w:val="0"/>
                <w:sz w:val="24"/>
                <w:szCs w:val="24"/>
                <w:shd w:fill="FFFFFF" w:val="clear"/>
                <w:lang w:val="uk-UA" w:eastAsia="ko-KR" w:bidi="ar-SA"/>
              </w:rPr>
              <w:t xml:space="preserve"> Закону </w:t>
            </w:r>
            <w:r>
              <w:rPr>
                <w:rFonts w:eastAsia="맑은 고딕" w:cs="Times New Roman"/>
                <w:kern w:val="0"/>
                <w:sz w:val="24"/>
                <w:szCs w:val="24"/>
                <w:lang w:val="uk-UA" w:eastAsia="ko-KR" w:bidi="ar-SA"/>
              </w:rPr>
              <w:t xml:space="preserve">України “Про запобігання корупції” </w:t>
            </w:r>
            <w:r>
              <w:rPr>
                <w:rFonts w:eastAsia="맑은 고딕" w:cs="Times New Roman"/>
                <w:kern w:val="0"/>
                <w:sz w:val="24"/>
                <w:szCs w:val="24"/>
                <w:shd w:fill="FFFFFF" w:val="clear"/>
                <w:lang w:val="uk-UA" w:eastAsia="ko-KR" w:bidi="ar-SA"/>
              </w:rPr>
              <w:t>декларацій та повідомлення Національне агентство про випадки неподання чи несвоєчасного подання таких декларацій</w:t>
            </w:r>
          </w:p>
        </w:tc>
        <w:tc>
          <w:tcPr>
            <w:tcW w:w="2109"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Постійно</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w:t>
            </w:r>
            <w:r>
              <w:rPr>
                <w:rFonts w:eastAsia="맑은 고딕" w:cs="Times New Roman"/>
                <w:kern w:val="0"/>
                <w:sz w:val="24"/>
                <w:szCs w:val="24"/>
                <w:shd w:fill="FFFFFF" w:val="clear"/>
                <w:lang w:val="uk-UA" w:eastAsia="ko-KR" w:bidi="ar-SA"/>
              </w:rPr>
              <w:t>у визначеному законодавством порядку)</w:t>
            </w:r>
          </w:p>
        </w:tc>
        <w:tc>
          <w:tcPr>
            <w:tcW w:w="2474"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Козуб В.В.,</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Литвинюк О.В.,</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Бількевич О.А.,</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Таран В.Г.</w:t>
            </w:r>
          </w:p>
        </w:tc>
        <w:tc>
          <w:tcPr>
            <w:tcW w:w="5356" w:type="dxa"/>
            <w:tcBorders>
              <w:bottom w:val="nil"/>
            </w:tcBorders>
            <w:tcMar>
              <w:top w:w="0" w:type="dxa"/>
              <w:bottom w:w="0" w:type="dxa"/>
            </w:tcMar>
          </w:tcPr>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1. Забезпечено своєчасну перевірку факту подання суб’єктами декларування декларацій.</w:t>
            </w:r>
          </w:p>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 xml:space="preserve">2. Направлено відповідні повідомлення до Національного агентства </w:t>
            </w:r>
            <w:r>
              <w:rPr>
                <w:rFonts w:eastAsia="맑은 고딕" w:cs="Times New Roman"/>
                <w:kern w:val="0"/>
                <w:sz w:val="24"/>
                <w:szCs w:val="24"/>
                <w:shd w:fill="FFFFFF" w:val="clear"/>
                <w:lang w:val="uk-UA" w:eastAsia="ko-KR" w:bidi="ar-SA"/>
              </w:rPr>
              <w:t>про випадки неподання чи несвоєчасного подання декларацій (у разі встановлення)</w:t>
            </w:r>
          </w:p>
        </w:tc>
      </w:tr>
      <w:tr>
        <w:trPr/>
        <w:tc>
          <w:tcPr>
            <w:tcW w:w="519" w:type="dxa"/>
            <w:tcBorders>
              <w:bottom w:val="nil"/>
            </w:tcBorders>
            <w:tcMar>
              <w:top w:w="0" w:type="dxa"/>
              <w:bottom w:w="0" w:type="dxa"/>
            </w:tcMar>
          </w:tcPr>
          <w:p>
            <w:pPr>
              <w:pStyle w:val="NoSpacing"/>
              <w:widowControl/>
              <w:numPr>
                <w:ilvl w:val="0"/>
                <w:numId w:val="1"/>
              </w:numPr>
              <w:suppressAutoHyphens w:val="true"/>
              <w:spacing w:before="0" w:after="0"/>
              <w:ind w:hanging="0" w:left="0" w:right="4144"/>
              <w:jc w:val="center"/>
              <w:rPr>
                <w:rFonts w:cs="Times New Roman"/>
                <w:sz w:val="24"/>
                <w:szCs w:val="24"/>
                <w:lang w:val="uk-UA"/>
              </w:rPr>
            </w:pPr>
            <w:r>
              <w:rPr>
                <w:rFonts w:cs="Times New Roman"/>
                <w:sz w:val="24"/>
                <w:szCs w:val="24"/>
                <w:lang w:val="uk-UA"/>
              </w:rPr>
            </w:r>
          </w:p>
        </w:tc>
        <w:tc>
          <w:tcPr>
            <w:tcW w:w="4138" w:type="dxa"/>
            <w:tcBorders>
              <w:bottom w:val="nil"/>
            </w:tcBorders>
            <w:tcMar>
              <w:top w:w="0" w:type="dxa"/>
              <w:bottom w:w="0" w:type="dxa"/>
            </w:tcMar>
          </w:tcPr>
          <w:p>
            <w:pPr>
              <w:pStyle w:val="NoSpacing"/>
              <w:widowControl/>
              <w:suppressAutoHyphens w:val="true"/>
              <w:spacing w:before="0" w:after="0"/>
              <w:jc w:val="both"/>
              <w:rPr>
                <w:rFonts w:cs="Times New Roman"/>
                <w:sz w:val="24"/>
                <w:szCs w:val="24"/>
                <w:shd w:fill="FFFFFF" w:val="clear"/>
                <w:lang w:val="uk-UA"/>
              </w:rPr>
            </w:pPr>
            <w:r>
              <w:rPr>
                <w:rFonts w:eastAsia="맑은 고딕" w:cs="Times New Roman"/>
                <w:kern w:val="0"/>
                <w:sz w:val="24"/>
                <w:szCs w:val="24"/>
                <w:shd w:fill="FFFFFF" w:val="clear"/>
                <w:lang w:val="uk-UA" w:eastAsia="ko-KR" w:bidi="ar-SA"/>
              </w:rPr>
              <w:t>Удосконалення роботи з добору персоналу, перевірка відомостей стосовно осіб, які претендують на зайняття посад у Головному управлінні, у тому числі організація проведення в установленому порядку спеціальної перевірки стосовно осіб, які претендують на призначення на посади, які передбачають зайняття відповідального або особливо відповідального становища</w:t>
            </w:r>
          </w:p>
          <w:p>
            <w:pPr>
              <w:pStyle w:val="NoSpacing"/>
              <w:widowControl/>
              <w:suppressAutoHyphens w:val="true"/>
              <w:spacing w:before="0" w:after="0"/>
              <w:jc w:val="both"/>
              <w:rPr>
                <w:rFonts w:cs="Times New Roman"/>
                <w:sz w:val="24"/>
                <w:szCs w:val="24"/>
                <w:shd w:fill="FFFFFF" w:val="clear"/>
                <w:lang w:val="uk-UA"/>
              </w:rPr>
            </w:pPr>
            <w:r>
              <w:rPr>
                <w:rFonts w:cs="Times New Roman"/>
                <w:sz w:val="24"/>
                <w:szCs w:val="24"/>
                <w:shd w:fill="FFFFFF" w:val="clear"/>
                <w:lang w:val="uk-UA"/>
              </w:rPr>
            </w:r>
          </w:p>
        </w:tc>
        <w:tc>
          <w:tcPr>
            <w:tcW w:w="2109"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Постійно</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w:t>
            </w:r>
            <w:r>
              <w:rPr>
                <w:rFonts w:eastAsia="맑은 고딕" w:cs="Times New Roman"/>
                <w:kern w:val="0"/>
                <w:sz w:val="24"/>
                <w:szCs w:val="24"/>
                <w:shd w:fill="FFFFFF" w:val="clear"/>
                <w:lang w:val="uk-UA" w:eastAsia="ko-KR" w:bidi="ar-SA"/>
              </w:rPr>
              <w:t>у визначеному законодавством порядку)</w:t>
            </w:r>
          </w:p>
        </w:tc>
        <w:tc>
          <w:tcPr>
            <w:tcW w:w="2474"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Управління по роботі з персоналом,</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Козуб В.В.,</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Литвинюк О.В.,</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Бількевич О.А.,</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Таран В.Г.</w:t>
            </w:r>
          </w:p>
        </w:tc>
        <w:tc>
          <w:tcPr>
            <w:tcW w:w="5356" w:type="dxa"/>
            <w:tcBorders>
              <w:bottom w:val="nil"/>
            </w:tcBorders>
            <w:tcMar>
              <w:top w:w="0" w:type="dxa"/>
              <w:bottom w:w="0" w:type="dxa"/>
            </w:tcMar>
          </w:tcPr>
          <w:p>
            <w:pPr>
              <w:pStyle w:val="NoSpacing"/>
              <w:widowControl/>
              <w:suppressAutoHyphens w:val="true"/>
              <w:spacing w:before="0" w:after="0"/>
              <w:jc w:val="both"/>
              <w:rPr>
                <w:rFonts w:cs="Times New Roman"/>
                <w:sz w:val="24"/>
                <w:szCs w:val="24"/>
                <w:shd w:fill="FFFFFF" w:val="clear"/>
                <w:lang w:val="uk-UA"/>
              </w:rPr>
            </w:pPr>
            <w:r>
              <w:rPr>
                <w:rFonts w:eastAsia="맑은 고딕" w:cs="Times New Roman"/>
                <w:kern w:val="0"/>
                <w:sz w:val="24"/>
                <w:szCs w:val="24"/>
                <w:lang w:val="uk-UA" w:eastAsia="ko-KR" w:bidi="ar-SA"/>
              </w:rPr>
              <w:t>1. Забезпечено перегляд процедури</w:t>
            </w:r>
            <w:r>
              <w:rPr>
                <w:rFonts w:eastAsia="맑은 고딕" w:cs="Times New Roman"/>
                <w:kern w:val="0"/>
                <w:sz w:val="24"/>
                <w:szCs w:val="24"/>
                <w:shd w:fill="FFFFFF" w:val="clear"/>
                <w:lang w:val="uk-UA" w:eastAsia="ko-KR" w:bidi="ar-SA"/>
              </w:rPr>
              <w:t xml:space="preserve"> з добору персоналу.</w:t>
            </w:r>
          </w:p>
          <w:p>
            <w:pPr>
              <w:pStyle w:val="NoSpacing"/>
              <w:widowControl/>
              <w:suppressAutoHyphens w:val="true"/>
              <w:spacing w:before="0" w:after="0"/>
              <w:jc w:val="both"/>
              <w:rPr>
                <w:rFonts w:cs="Times New Roman"/>
                <w:sz w:val="24"/>
                <w:szCs w:val="24"/>
                <w:shd w:fill="FFFFFF" w:val="clear"/>
                <w:lang w:val="uk-UA"/>
              </w:rPr>
            </w:pPr>
            <w:r>
              <w:rPr>
                <w:rFonts w:eastAsia="맑은 고딕" w:cs="Times New Roman"/>
                <w:kern w:val="0"/>
                <w:sz w:val="24"/>
                <w:szCs w:val="24"/>
                <w:shd w:fill="FFFFFF" w:val="clear"/>
                <w:lang w:val="uk-UA" w:eastAsia="ko-KR" w:bidi="ar-SA"/>
              </w:rPr>
              <w:t>2. Забезпечено своєчасну організацію проведення в установленому порядку спеціальної перевірки стосовно осіб, які претендують на призначення на посади, які передбачають зайняття відповідального або особливо відповідального становища відповідно до вимог Закону</w:t>
            </w:r>
          </w:p>
          <w:p>
            <w:pPr>
              <w:pStyle w:val="NoSpacing"/>
              <w:widowControl/>
              <w:suppressAutoHyphens w:val="true"/>
              <w:spacing w:before="0" w:after="0"/>
              <w:jc w:val="both"/>
              <w:rPr>
                <w:rFonts w:cs="Times New Roman"/>
                <w:sz w:val="24"/>
                <w:szCs w:val="24"/>
                <w:lang w:val="uk-UA"/>
              </w:rPr>
            </w:pPr>
            <w:r>
              <w:rPr>
                <w:rFonts w:cs="Times New Roman"/>
                <w:sz w:val="24"/>
                <w:szCs w:val="24"/>
                <w:lang w:val="uk-UA"/>
              </w:rPr>
            </w:r>
          </w:p>
        </w:tc>
      </w:tr>
      <w:tr>
        <w:trPr/>
        <w:tc>
          <w:tcPr>
            <w:tcW w:w="519" w:type="dxa"/>
            <w:tcBorders>
              <w:bottom w:val="nil"/>
            </w:tcBorders>
            <w:tcMar>
              <w:top w:w="0" w:type="dxa"/>
              <w:bottom w:w="0" w:type="dxa"/>
            </w:tcMar>
          </w:tcPr>
          <w:p>
            <w:pPr>
              <w:pStyle w:val="NoSpacing"/>
              <w:widowControl/>
              <w:numPr>
                <w:ilvl w:val="0"/>
                <w:numId w:val="1"/>
              </w:numPr>
              <w:suppressAutoHyphens w:val="true"/>
              <w:spacing w:before="0" w:after="0"/>
              <w:ind w:hanging="0" w:left="0" w:right="4144"/>
              <w:jc w:val="center"/>
              <w:rPr>
                <w:rFonts w:cs="Times New Roman"/>
                <w:sz w:val="24"/>
                <w:szCs w:val="24"/>
                <w:lang w:val="uk-UA"/>
              </w:rPr>
            </w:pPr>
            <w:r>
              <w:rPr>
                <w:rFonts w:cs="Times New Roman"/>
                <w:sz w:val="24"/>
                <w:szCs w:val="24"/>
                <w:lang w:val="uk-UA"/>
              </w:rPr>
            </w:r>
          </w:p>
        </w:tc>
        <w:tc>
          <w:tcPr>
            <w:tcW w:w="4138" w:type="dxa"/>
            <w:tcBorders>
              <w:bottom w:val="nil"/>
            </w:tcBorders>
            <w:tcMar>
              <w:top w:w="0" w:type="dxa"/>
              <w:bottom w:w="0" w:type="dxa"/>
            </w:tcMar>
          </w:tcPr>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Взаємодія з уповноваженими підрозділами з питань запобігання та виявлення корупції інших державних органів, Національним агентством, іншими спеціально уповноваженими суб’єктами у сфері протидії корупції</w:t>
            </w:r>
          </w:p>
        </w:tc>
        <w:tc>
          <w:tcPr>
            <w:tcW w:w="2109"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Постійно</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(у строки, визначені законодавством)</w:t>
            </w:r>
          </w:p>
        </w:tc>
        <w:tc>
          <w:tcPr>
            <w:tcW w:w="2474"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Козуб В.В.</w:t>
            </w:r>
          </w:p>
        </w:tc>
        <w:tc>
          <w:tcPr>
            <w:tcW w:w="5356" w:type="dxa"/>
            <w:tcBorders>
              <w:bottom w:val="nil"/>
            </w:tcBorders>
            <w:tcMar>
              <w:top w:w="0" w:type="dxa"/>
              <w:bottom w:w="0" w:type="dxa"/>
            </w:tcMar>
          </w:tcPr>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1. Взято участь у заході.</w:t>
            </w:r>
          </w:p>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2. Забезпечено своєчасне надання Національному агентству звітної інформації та інформації про зміни структури, штатної чисельності, контактних даних, а також керівника уповноваженого підрозділу з питань запобігання та виявлення корупції Головного управління.</w:t>
            </w:r>
          </w:p>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3. Забезпечено опрацювання запитів спеціально уповноважених суб’єктів у сфері протидії корупції.</w:t>
            </w:r>
          </w:p>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4. Своєчасне інформування начальника Головного управління, Національного агентства або інших спеціально уповноважених суб’єктів у сфері протидії корупції у випадках, передбачених законодавством, про факти, що можуть свідчити про вчинення корупційних або пов’язаних з корупцією правопорушень та інших порушень вимог Закону України “Про запобігання корупції” працівниками Головного управління</w:t>
            </w:r>
          </w:p>
        </w:tc>
      </w:tr>
      <w:tr>
        <w:trPr/>
        <w:tc>
          <w:tcPr>
            <w:tcW w:w="519" w:type="dxa"/>
            <w:tcBorders>
              <w:bottom w:val="nil"/>
            </w:tcBorders>
            <w:tcMar>
              <w:top w:w="0" w:type="dxa"/>
              <w:bottom w:w="0" w:type="dxa"/>
            </w:tcMar>
          </w:tcPr>
          <w:p>
            <w:pPr>
              <w:pStyle w:val="NoSpacing"/>
              <w:widowControl/>
              <w:numPr>
                <w:ilvl w:val="0"/>
                <w:numId w:val="1"/>
              </w:numPr>
              <w:suppressAutoHyphens w:val="true"/>
              <w:spacing w:before="0" w:after="0"/>
              <w:ind w:hanging="0" w:left="0" w:right="4144"/>
              <w:jc w:val="center"/>
              <w:rPr>
                <w:rFonts w:cs="Times New Roman"/>
                <w:sz w:val="24"/>
                <w:szCs w:val="24"/>
                <w:lang w:val="uk-UA"/>
              </w:rPr>
            </w:pPr>
            <w:r>
              <w:rPr>
                <w:rFonts w:cs="Times New Roman"/>
                <w:sz w:val="24"/>
                <w:szCs w:val="24"/>
                <w:lang w:val="uk-UA"/>
              </w:rPr>
            </w:r>
          </w:p>
        </w:tc>
        <w:tc>
          <w:tcPr>
            <w:tcW w:w="4138" w:type="dxa"/>
            <w:tcBorders>
              <w:bottom w:val="nil"/>
            </w:tcBorders>
            <w:tcMar>
              <w:top w:w="0" w:type="dxa"/>
              <w:bottom w:w="0" w:type="dxa"/>
            </w:tcMar>
          </w:tcPr>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shd w:fill="FFFFFF" w:val="clear"/>
                <w:lang w:val="uk-UA" w:eastAsia="ko-KR" w:bidi="ar-SA"/>
              </w:rPr>
              <w:t>Вжиття заходів з виявлення конфлікту інтересів та сприяння його врегулюванню</w:t>
            </w:r>
          </w:p>
        </w:tc>
        <w:tc>
          <w:tcPr>
            <w:tcW w:w="2109"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Постійно</w:t>
            </w:r>
          </w:p>
        </w:tc>
        <w:tc>
          <w:tcPr>
            <w:tcW w:w="2474"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Козуб В.В.,</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Литвинюк О.В.,</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Бількевич О.А.,</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Таран В.Г.</w:t>
            </w:r>
          </w:p>
        </w:tc>
        <w:tc>
          <w:tcPr>
            <w:tcW w:w="5356" w:type="dxa"/>
            <w:tcBorders>
              <w:bottom w:val="nil"/>
            </w:tcBorders>
            <w:tcMar>
              <w:top w:w="0" w:type="dxa"/>
              <w:bottom w:w="0" w:type="dxa"/>
            </w:tcMar>
          </w:tcPr>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1. Забезпечено візування уповноваженими підрозділами з питань запобігання та виявлення корупції Головного управління проєктів розпорядчих актів.</w:t>
            </w:r>
          </w:p>
          <w:p>
            <w:pPr>
              <w:pStyle w:val="NoSpacing"/>
              <w:widowControl/>
              <w:suppressAutoHyphens w:val="true"/>
              <w:spacing w:before="0" w:after="0"/>
              <w:jc w:val="both"/>
              <w:rPr>
                <w:rFonts w:cs="Times New Roman"/>
                <w:sz w:val="24"/>
                <w:szCs w:val="24"/>
                <w:shd w:fill="FFFFFF" w:val="clear"/>
                <w:lang w:val="uk-UA"/>
              </w:rPr>
            </w:pPr>
            <w:r>
              <w:rPr>
                <w:rFonts w:eastAsia="맑은 고딕" w:cs="Times New Roman"/>
                <w:kern w:val="0"/>
                <w:sz w:val="24"/>
                <w:szCs w:val="24"/>
                <w:lang w:val="uk-UA" w:eastAsia="ko-KR" w:bidi="ar-SA"/>
              </w:rPr>
              <w:t xml:space="preserve">2. Забезпечено ознайомлення осіб, яких </w:t>
            </w:r>
            <w:r>
              <w:rPr>
                <w:rFonts w:eastAsia="맑은 고딕" w:cs="Times New Roman"/>
                <w:kern w:val="0"/>
                <w:sz w:val="24"/>
                <w:szCs w:val="24"/>
                <w:shd w:fill="FFFFFF" w:val="clear"/>
                <w:lang w:val="uk-UA" w:eastAsia="ko-KR" w:bidi="ar-SA"/>
              </w:rPr>
              <w:t>включено до складу утвореної в Головному управлінні дисциплінарної комісії, з вимогами у сфері запобігання та врегулювання конфлікту інтересів (у разі утворення), під особистий підпис до початку їх роботи.</w:t>
            </w:r>
          </w:p>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3. Забезпечено своєчасне реагування на факти, викладені в повідомленні про можливі факти корупційних або пов’язаних з корупцією правопорушень, інших порушень Закону України “Про запобігання корупції” в частині сприяння врегулювання конфлікту інтересів (у разі наявності ознак).</w:t>
            </w:r>
          </w:p>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4. Своєчасно поінформовано начальника Головного управління та Національне агентство про виявлення конфлікту інтересів та заходи, вжиті для його врегулювання (у разі виявлення)</w:t>
            </w:r>
          </w:p>
        </w:tc>
      </w:tr>
      <w:tr>
        <w:trPr/>
        <w:tc>
          <w:tcPr>
            <w:tcW w:w="519" w:type="dxa"/>
            <w:tcBorders>
              <w:bottom w:val="nil"/>
            </w:tcBorders>
            <w:tcMar>
              <w:top w:w="0" w:type="dxa"/>
              <w:bottom w:w="0" w:type="dxa"/>
            </w:tcMar>
          </w:tcPr>
          <w:p>
            <w:pPr>
              <w:pStyle w:val="NoSpacing"/>
              <w:widowControl/>
              <w:numPr>
                <w:ilvl w:val="0"/>
                <w:numId w:val="1"/>
              </w:numPr>
              <w:suppressAutoHyphens w:val="true"/>
              <w:spacing w:before="0" w:after="0"/>
              <w:ind w:hanging="0" w:left="0" w:right="4144"/>
              <w:jc w:val="center"/>
              <w:rPr>
                <w:rFonts w:cs="Times New Roman"/>
                <w:sz w:val="24"/>
                <w:szCs w:val="24"/>
                <w:lang w:val="uk-UA"/>
              </w:rPr>
            </w:pPr>
            <w:r>
              <w:rPr>
                <w:rFonts w:cs="Times New Roman"/>
                <w:sz w:val="24"/>
                <w:szCs w:val="24"/>
                <w:lang w:val="uk-UA"/>
              </w:rPr>
            </w:r>
          </w:p>
        </w:tc>
        <w:tc>
          <w:tcPr>
            <w:tcW w:w="4138" w:type="dxa"/>
            <w:tcBorders>
              <w:bottom w:val="nil"/>
            </w:tcBorders>
            <w:tcMar>
              <w:top w:w="0" w:type="dxa"/>
              <w:bottom w:w="0" w:type="dxa"/>
            </w:tcMar>
          </w:tcPr>
          <w:p>
            <w:pPr>
              <w:pStyle w:val="NoSpacing"/>
              <w:widowControl/>
              <w:suppressAutoHyphens w:val="true"/>
              <w:spacing w:before="0" w:after="0"/>
              <w:jc w:val="both"/>
              <w:rPr>
                <w:rFonts w:cs="Times New Roman"/>
                <w:sz w:val="24"/>
                <w:szCs w:val="24"/>
                <w:shd w:fill="FFFFFF" w:val="clear"/>
                <w:lang w:val="uk-UA"/>
              </w:rPr>
            </w:pPr>
            <w:r>
              <w:rPr>
                <w:rFonts w:eastAsia="맑은 고딕" w:cs="Times New Roman"/>
                <w:kern w:val="0"/>
                <w:sz w:val="24"/>
                <w:szCs w:val="24"/>
                <w:shd w:fill="FFFFFF" w:val="clear"/>
                <w:lang w:val="uk-UA" w:eastAsia="ko-KR" w:bidi="ar-SA"/>
              </w:rPr>
              <w:t xml:space="preserve">Захист викривачів, відповідно до вимог Закону України </w:t>
            </w:r>
            <w:r>
              <w:rPr>
                <w:rFonts w:eastAsia="맑은 고딕" w:cs="Times New Roman"/>
                <w:kern w:val="0"/>
                <w:sz w:val="24"/>
                <w:szCs w:val="24"/>
                <w:lang w:val="uk-UA" w:eastAsia="ko-KR" w:bidi="ar-SA"/>
              </w:rPr>
              <w:t>“Про запобігання корупції”</w:t>
            </w:r>
          </w:p>
        </w:tc>
        <w:tc>
          <w:tcPr>
            <w:tcW w:w="2109"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Постійно</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(за  наявності підстав)</w:t>
            </w:r>
          </w:p>
        </w:tc>
        <w:tc>
          <w:tcPr>
            <w:tcW w:w="2474"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Козуб В.В.</w:t>
            </w:r>
          </w:p>
        </w:tc>
        <w:tc>
          <w:tcPr>
            <w:tcW w:w="5356" w:type="dxa"/>
            <w:tcBorders>
              <w:bottom w:val="nil"/>
            </w:tcBorders>
            <w:tcMar>
              <w:top w:w="0" w:type="dxa"/>
              <w:bottom w:w="0" w:type="dxa"/>
            </w:tcMar>
          </w:tcPr>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 xml:space="preserve">1. Забезпечено функціонування внутрішніх каналів повідомлення про можливі факти корупційних або пов’язаних з корупцією правопорушень, інших порушень вимог Закону </w:t>
            </w:r>
            <w:r>
              <w:rPr>
                <w:rFonts w:eastAsia="맑은 고딕" w:cs="Times New Roman"/>
                <w:kern w:val="0"/>
                <w:sz w:val="24"/>
                <w:szCs w:val="24"/>
                <w:shd w:fill="FFFFFF" w:val="clear"/>
                <w:lang w:val="uk-UA" w:eastAsia="ko-KR" w:bidi="ar-SA"/>
              </w:rPr>
              <w:t xml:space="preserve">України </w:t>
            </w:r>
            <w:r>
              <w:rPr>
                <w:rFonts w:eastAsia="맑은 고딕" w:cs="Times New Roman"/>
                <w:kern w:val="0"/>
                <w:sz w:val="24"/>
                <w:szCs w:val="24"/>
                <w:lang w:val="uk-UA" w:eastAsia="ko-KR" w:bidi="ar-SA"/>
              </w:rPr>
              <w:t>“Про запобігання корупції”.</w:t>
            </w:r>
          </w:p>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2. Своєчасно отримано та організовано розгляд повідомленої через внутрішні канали інформації.</w:t>
            </w:r>
          </w:p>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 xml:space="preserve">3. Вжито заходів щодо співпраці з викривачами; забезпечено дотримання їхніх прав та гарантій захисту, передбачених Законом </w:t>
            </w:r>
            <w:r>
              <w:rPr>
                <w:rFonts w:eastAsia="맑은 고딕" w:cs="Times New Roman"/>
                <w:kern w:val="0"/>
                <w:sz w:val="24"/>
                <w:szCs w:val="24"/>
                <w:shd w:fill="FFFFFF" w:val="clear"/>
                <w:lang w:val="uk-UA" w:eastAsia="ko-KR" w:bidi="ar-SA"/>
              </w:rPr>
              <w:t xml:space="preserve">України </w:t>
            </w:r>
            <w:r>
              <w:rPr>
                <w:rFonts w:eastAsia="맑은 고딕" w:cs="Times New Roman"/>
                <w:kern w:val="0"/>
                <w:sz w:val="24"/>
                <w:szCs w:val="24"/>
                <w:lang w:val="uk-UA" w:eastAsia="ko-KR" w:bidi="ar-SA"/>
              </w:rPr>
              <w:t>“Про запобігання корупції”.</w:t>
            </w:r>
          </w:p>
          <w:p>
            <w:pPr>
              <w:pStyle w:val="NoSpacing"/>
              <w:widowControl/>
              <w:suppressAutoHyphens w:val="true"/>
              <w:spacing w:before="0" w:after="0"/>
              <w:jc w:val="both"/>
              <w:rPr>
                <w:rFonts w:cs="Times New Roman"/>
                <w:sz w:val="24"/>
                <w:szCs w:val="24"/>
                <w:shd w:fill="FFFFFF" w:val="clear"/>
                <w:lang w:val="uk-UA"/>
              </w:rPr>
            </w:pPr>
            <w:r>
              <w:rPr>
                <w:rFonts w:eastAsia="맑은 고딕" w:cs="Times New Roman"/>
                <w:kern w:val="0"/>
                <w:sz w:val="24"/>
                <w:szCs w:val="24"/>
                <w:lang w:val="uk-UA" w:eastAsia="ko-KR" w:bidi="ar-SA"/>
              </w:rPr>
              <w:t>4.</w:t>
            </w:r>
            <w:r>
              <w:rPr>
                <w:rFonts w:eastAsia="맑은 고딕" w:cs="Times New Roman"/>
                <w:kern w:val="0"/>
                <w:sz w:val="24"/>
                <w:szCs w:val="24"/>
                <w:shd w:fill="FFFFFF" w:val="clear"/>
                <w:lang w:val="uk-UA" w:eastAsia="ko-KR" w:bidi="ar-SA"/>
              </w:rPr>
              <w:t xml:space="preserve"> Забезпечено конфіденційність інформації про осіб, які повідомляють про можливі факти корупційних або пов’язаних з корупцією правопорушень</w:t>
            </w:r>
          </w:p>
        </w:tc>
      </w:tr>
      <w:tr>
        <w:trPr/>
        <w:tc>
          <w:tcPr>
            <w:tcW w:w="519" w:type="dxa"/>
            <w:tcBorders>
              <w:bottom w:val="nil"/>
            </w:tcBorders>
            <w:tcMar>
              <w:top w:w="0" w:type="dxa"/>
              <w:bottom w:w="0" w:type="dxa"/>
            </w:tcMar>
          </w:tcPr>
          <w:p>
            <w:pPr>
              <w:pStyle w:val="NoSpacing"/>
              <w:widowControl/>
              <w:numPr>
                <w:ilvl w:val="0"/>
                <w:numId w:val="1"/>
              </w:numPr>
              <w:suppressAutoHyphens w:val="true"/>
              <w:spacing w:before="0" w:after="0"/>
              <w:ind w:hanging="0" w:left="0" w:right="4144"/>
              <w:jc w:val="center"/>
              <w:rPr>
                <w:rFonts w:cs="Times New Roman"/>
                <w:sz w:val="24"/>
                <w:szCs w:val="24"/>
                <w:lang w:val="uk-UA"/>
              </w:rPr>
            </w:pPr>
            <w:r>
              <w:rPr>
                <w:rFonts w:cs="Times New Roman"/>
                <w:sz w:val="24"/>
                <w:szCs w:val="24"/>
                <w:lang w:val="uk-UA"/>
              </w:rPr>
            </w:r>
          </w:p>
        </w:tc>
        <w:tc>
          <w:tcPr>
            <w:tcW w:w="4138" w:type="dxa"/>
            <w:tcBorders>
              <w:bottom w:val="nil"/>
            </w:tcBorders>
            <w:tcMar>
              <w:top w:w="0" w:type="dxa"/>
              <w:bottom w:w="0" w:type="dxa"/>
            </w:tcMar>
          </w:tcPr>
          <w:p>
            <w:pPr>
              <w:pStyle w:val="NoSpacing"/>
              <w:widowControl/>
              <w:suppressAutoHyphens w:val="true"/>
              <w:spacing w:before="0" w:after="0"/>
              <w:jc w:val="both"/>
              <w:rPr>
                <w:rFonts w:cs="Times New Roman"/>
                <w:sz w:val="24"/>
                <w:szCs w:val="24"/>
                <w:shd w:fill="FFFFFF" w:val="clear"/>
                <w:lang w:val="uk-UA"/>
              </w:rPr>
            </w:pPr>
            <w:r>
              <w:rPr>
                <w:rFonts w:eastAsia="맑은 고딕" w:cs="Times New Roman"/>
                <w:kern w:val="0"/>
                <w:sz w:val="24"/>
                <w:szCs w:val="24"/>
                <w:shd w:fill="FFFFFF" w:val="clear"/>
                <w:lang w:val="uk-UA" w:eastAsia="ko-KR" w:bidi="ar-SA"/>
              </w:rPr>
              <w:t>Заохочення та формування культури повідомлення про можливі факти корупційних або пов’язаних з корупцією правопорушень, інших порушень Закону</w:t>
            </w:r>
          </w:p>
        </w:tc>
        <w:tc>
          <w:tcPr>
            <w:tcW w:w="2109"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Постійно</w:t>
            </w:r>
          </w:p>
        </w:tc>
        <w:tc>
          <w:tcPr>
            <w:tcW w:w="2474"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Козуб В.В.,</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Литвинюк О.В.,</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Бількевич О.А.,</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Таран В.Г.</w:t>
            </w:r>
          </w:p>
        </w:tc>
        <w:tc>
          <w:tcPr>
            <w:tcW w:w="5356" w:type="dxa"/>
            <w:tcBorders>
              <w:bottom w:val="nil"/>
            </w:tcBorders>
            <w:tcMar>
              <w:top w:w="0" w:type="dxa"/>
              <w:bottom w:w="0" w:type="dxa"/>
            </w:tcMar>
          </w:tcPr>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1. Забезпечено надання методичної та консультативної допомоги щодо здійснення повідомлення</w:t>
            </w:r>
            <w:bookmarkStart w:id="0" w:name="n23"/>
            <w:bookmarkEnd w:id="0"/>
            <w:r>
              <w:rPr>
                <w:rFonts w:eastAsia="맑은 고딕" w:cs="Times New Roman"/>
                <w:kern w:val="0"/>
                <w:sz w:val="24"/>
                <w:szCs w:val="24"/>
                <w:lang w:val="uk-UA" w:eastAsia="ko-KR" w:bidi="ar-SA"/>
              </w:rPr>
              <w:t>, впровадження морального та матеріального заохочення працівників Головного управління, які є викривачами.</w:t>
            </w:r>
            <w:bookmarkStart w:id="1" w:name="n25"/>
            <w:bookmarkStart w:id="2" w:name="n24"/>
            <w:bookmarkEnd w:id="1"/>
            <w:bookmarkEnd w:id="2"/>
          </w:p>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2. Забезпечено організацію та проведення внутрішніх навчань з питань формування культури повідомлення</w:t>
            </w:r>
            <w:bookmarkStart w:id="3" w:name="n26"/>
            <w:bookmarkEnd w:id="3"/>
            <w:r>
              <w:rPr>
                <w:rFonts w:eastAsia="맑은 고딕" w:cs="Times New Roman"/>
                <w:kern w:val="0"/>
                <w:sz w:val="24"/>
                <w:szCs w:val="24"/>
                <w:lang w:val="uk-UA" w:eastAsia="ko-KR" w:bidi="ar-SA"/>
              </w:rPr>
              <w:t>, комунікаційної кампанії та систематичне здійснення просвітницьких заходів у сфері захисту викривачів</w:t>
            </w:r>
          </w:p>
        </w:tc>
      </w:tr>
      <w:tr>
        <w:trPr/>
        <w:tc>
          <w:tcPr>
            <w:tcW w:w="519" w:type="dxa"/>
            <w:tcBorders>
              <w:bottom w:val="nil"/>
            </w:tcBorders>
            <w:tcMar>
              <w:top w:w="0" w:type="dxa"/>
              <w:bottom w:w="0" w:type="dxa"/>
            </w:tcMar>
          </w:tcPr>
          <w:p>
            <w:pPr>
              <w:pStyle w:val="NoSpacing"/>
              <w:widowControl/>
              <w:numPr>
                <w:ilvl w:val="0"/>
                <w:numId w:val="1"/>
              </w:numPr>
              <w:suppressAutoHyphens w:val="true"/>
              <w:spacing w:before="0" w:after="0"/>
              <w:ind w:hanging="0" w:left="0" w:right="4144"/>
              <w:jc w:val="center"/>
              <w:rPr>
                <w:rFonts w:cs="Times New Roman"/>
                <w:sz w:val="24"/>
                <w:szCs w:val="24"/>
                <w:lang w:val="uk-UA"/>
              </w:rPr>
            </w:pPr>
            <w:r>
              <w:rPr>
                <w:rFonts w:cs="Times New Roman"/>
                <w:sz w:val="24"/>
                <w:szCs w:val="24"/>
                <w:lang w:val="uk-UA"/>
              </w:rPr>
            </w:r>
          </w:p>
        </w:tc>
        <w:tc>
          <w:tcPr>
            <w:tcW w:w="4138" w:type="dxa"/>
            <w:tcBorders>
              <w:bottom w:val="nil"/>
            </w:tcBorders>
            <w:tcMar>
              <w:top w:w="0" w:type="dxa"/>
              <w:bottom w:w="0" w:type="dxa"/>
            </w:tcMar>
          </w:tcPr>
          <w:p>
            <w:pPr>
              <w:pStyle w:val="NoSpacing"/>
              <w:widowControl/>
              <w:suppressAutoHyphens w:val="true"/>
              <w:spacing w:before="0" w:after="0"/>
              <w:jc w:val="both"/>
              <w:rPr>
                <w:rFonts w:cs="Times New Roman"/>
                <w:sz w:val="24"/>
                <w:szCs w:val="24"/>
                <w:shd w:fill="FFFFFF" w:val="clear"/>
                <w:lang w:val="uk-UA"/>
              </w:rPr>
            </w:pPr>
            <w:r>
              <w:rPr>
                <w:rFonts w:eastAsia="맑은 고딕" w:cs="Times New Roman"/>
                <w:kern w:val="0"/>
                <w:sz w:val="24"/>
                <w:szCs w:val="24"/>
                <w:shd w:fill="FFFFFF" w:val="clear"/>
                <w:lang w:val="uk-UA" w:eastAsia="ko-KR" w:bidi="ar-SA"/>
              </w:rPr>
              <w:t xml:space="preserve">Організація роботи та участь у службовому розслідуванні, яке проводиться з метою виявлення причин та умов, що призвели до вчинення корупційного або пов’язаного з корупцією правопорушення або невиконання вимог </w:t>
            </w:r>
            <w:r>
              <w:rPr>
                <w:rFonts w:eastAsia="맑은 고딕" w:cs="Times New Roman"/>
                <w:kern w:val="0"/>
                <w:sz w:val="24"/>
                <w:szCs w:val="24"/>
                <w:lang w:val="uk-UA" w:eastAsia="ko-KR" w:bidi="ar-SA"/>
              </w:rPr>
              <w:t>Закону</w:t>
            </w:r>
            <w:r>
              <w:rPr>
                <w:rFonts w:eastAsia="맑은 고딕" w:cs="Times New Roman"/>
                <w:kern w:val="0"/>
                <w:sz w:val="24"/>
                <w:szCs w:val="24"/>
                <w:shd w:fill="FFFFFF" w:val="clear"/>
                <w:lang w:val="uk-UA" w:eastAsia="ko-KR" w:bidi="ar-SA"/>
              </w:rPr>
              <w:t xml:space="preserve"> України </w:t>
            </w:r>
            <w:r>
              <w:rPr>
                <w:rFonts w:eastAsia="맑은 고딕" w:cs="Times New Roman"/>
                <w:kern w:val="0"/>
                <w:sz w:val="24"/>
                <w:szCs w:val="24"/>
                <w:lang w:val="uk-UA" w:eastAsia="ko-KR" w:bidi="ar-SA"/>
              </w:rPr>
              <w:t xml:space="preserve">“Про запобігання корупції” </w:t>
            </w:r>
            <w:r>
              <w:rPr>
                <w:rFonts w:eastAsia="맑은 고딕" w:cs="Times New Roman"/>
                <w:kern w:val="0"/>
                <w:sz w:val="24"/>
                <w:szCs w:val="24"/>
                <w:shd w:fill="FFFFFF" w:val="clear"/>
                <w:lang w:val="uk-UA" w:eastAsia="ko-KR" w:bidi="ar-SA"/>
              </w:rPr>
              <w:t>в інший спосіб, за поданням спеціально уповноваженого суб’єкта у сфері протидії корупції або приписом Національного агентства</w:t>
            </w:r>
          </w:p>
        </w:tc>
        <w:tc>
          <w:tcPr>
            <w:tcW w:w="2109"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У разі надходження припису Національного агентства / вимоги особи, щодо зняття безпідставних, на її думку, звинувачень або підозри</w:t>
            </w:r>
          </w:p>
          <w:p>
            <w:pPr>
              <w:pStyle w:val="NoSpacing"/>
              <w:widowControl/>
              <w:suppressAutoHyphens w:val="true"/>
              <w:spacing w:before="0" w:after="0"/>
              <w:jc w:val="center"/>
              <w:rPr>
                <w:rFonts w:cs="Times New Roman"/>
                <w:sz w:val="24"/>
                <w:szCs w:val="24"/>
                <w:lang w:val="uk-UA"/>
              </w:rPr>
            </w:pPr>
            <w:r>
              <w:rPr>
                <w:rFonts w:cs="Times New Roman"/>
                <w:sz w:val="24"/>
                <w:szCs w:val="24"/>
                <w:lang w:val="uk-UA"/>
              </w:rPr>
            </w:r>
          </w:p>
        </w:tc>
        <w:tc>
          <w:tcPr>
            <w:tcW w:w="2474"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Козуб В.В.</w:t>
            </w:r>
          </w:p>
        </w:tc>
        <w:tc>
          <w:tcPr>
            <w:tcW w:w="5356" w:type="dxa"/>
            <w:tcBorders>
              <w:bottom w:val="nil"/>
            </w:tcBorders>
            <w:tcMar>
              <w:top w:w="0" w:type="dxa"/>
              <w:bottom w:w="0" w:type="dxa"/>
            </w:tcMar>
          </w:tcPr>
          <w:p>
            <w:pPr>
              <w:pStyle w:val="NoSpacing"/>
              <w:widowControl/>
              <w:suppressAutoHyphens w:val="true"/>
              <w:spacing w:before="0" w:after="0"/>
              <w:jc w:val="both"/>
              <w:rPr>
                <w:rFonts w:cs="Times New Roman"/>
                <w:sz w:val="24"/>
                <w:szCs w:val="24"/>
                <w:lang w:val="uk-UA"/>
              </w:rPr>
            </w:pPr>
            <w:r>
              <w:rPr>
                <w:rFonts w:eastAsia="맑은 고딕" w:cs="Times New Roman"/>
                <w:kern w:val="0"/>
                <w:sz w:val="24"/>
                <w:szCs w:val="24"/>
                <w:lang w:val="uk-UA" w:eastAsia="ko-KR" w:bidi="ar-SA"/>
              </w:rPr>
              <w:t xml:space="preserve">1. </w:t>
            </w:r>
            <w:r>
              <w:rPr>
                <w:rFonts w:eastAsia="맑은 고딕" w:cs="Times New Roman"/>
                <w:kern w:val="0"/>
                <w:sz w:val="24"/>
                <w:szCs w:val="24"/>
                <w:shd w:fill="FFFFFF" w:val="clear"/>
                <w:lang w:val="uk-UA" w:eastAsia="ko-KR" w:bidi="ar-SA"/>
              </w:rPr>
              <w:t>Проведено службове розслідування</w:t>
            </w:r>
          </w:p>
        </w:tc>
      </w:tr>
      <w:tr>
        <w:trPr/>
        <w:tc>
          <w:tcPr>
            <w:tcW w:w="519" w:type="dxa"/>
            <w:tcBorders>
              <w:bottom w:val="nil"/>
            </w:tcBorders>
            <w:tcMar>
              <w:top w:w="0" w:type="dxa"/>
              <w:bottom w:w="0" w:type="dxa"/>
            </w:tcMar>
          </w:tcPr>
          <w:p>
            <w:pPr>
              <w:pStyle w:val="NoSpacing"/>
              <w:widowControl/>
              <w:numPr>
                <w:ilvl w:val="0"/>
                <w:numId w:val="1"/>
              </w:numPr>
              <w:suppressAutoHyphens w:val="true"/>
              <w:spacing w:before="0" w:after="0"/>
              <w:ind w:hanging="0" w:left="0" w:right="4144"/>
              <w:jc w:val="center"/>
              <w:rPr>
                <w:rFonts w:cs="Times New Roman"/>
                <w:sz w:val="24"/>
                <w:szCs w:val="24"/>
                <w:shd w:fill="FFFFFF" w:val="clear"/>
                <w:lang w:val="uk-UA"/>
              </w:rPr>
            </w:pPr>
            <w:r>
              <w:rPr>
                <w:rFonts w:cs="Times New Roman"/>
                <w:sz w:val="24"/>
                <w:szCs w:val="24"/>
                <w:shd w:fill="FFFFFF" w:val="clear"/>
                <w:lang w:val="uk-UA"/>
              </w:rPr>
            </w:r>
          </w:p>
        </w:tc>
        <w:tc>
          <w:tcPr>
            <w:tcW w:w="4138" w:type="dxa"/>
            <w:tcBorders>
              <w:bottom w:val="nil"/>
            </w:tcBorders>
            <w:tcMar>
              <w:top w:w="0" w:type="dxa"/>
              <w:bottom w:w="0" w:type="dxa"/>
            </w:tcMar>
          </w:tcPr>
          <w:p>
            <w:pPr>
              <w:pStyle w:val="NoSpacing"/>
              <w:widowControl/>
              <w:suppressAutoHyphens w:val="true"/>
              <w:spacing w:before="0" w:after="0"/>
              <w:jc w:val="both"/>
              <w:rPr>
                <w:rFonts w:cs="Times New Roman"/>
                <w:sz w:val="24"/>
                <w:szCs w:val="24"/>
                <w:shd w:fill="FFFFFF" w:val="clear"/>
                <w:lang w:val="uk-UA"/>
              </w:rPr>
            </w:pPr>
            <w:r>
              <w:rPr>
                <w:rFonts w:eastAsia="맑은 고딕" w:cs="Times New Roman"/>
                <w:kern w:val="0"/>
                <w:sz w:val="24"/>
                <w:szCs w:val="24"/>
                <w:shd w:fill="FFFFFF" w:val="clear"/>
                <w:lang w:val="uk-UA" w:eastAsia="ko-KR" w:bidi="ar-SA"/>
              </w:rPr>
              <w:t>Облік працівників Головного управління, притягнутих до відповідальності за вчинення корупційних правопорушень або правопорушень, пов’язаних з корупцією</w:t>
            </w:r>
          </w:p>
        </w:tc>
        <w:tc>
          <w:tcPr>
            <w:tcW w:w="2109" w:type="dxa"/>
            <w:tcBorders>
              <w:bottom w:val="nil"/>
            </w:tcBorders>
            <w:tcMar>
              <w:top w:w="0" w:type="dxa"/>
              <w:bottom w:w="0" w:type="dxa"/>
            </w:tcMar>
          </w:tcPr>
          <w:p>
            <w:pPr>
              <w:pStyle w:val="NoSpacing"/>
              <w:widowControl/>
              <w:suppressAutoHyphens w:val="true"/>
              <w:spacing w:before="0" w:after="0"/>
              <w:jc w:val="center"/>
              <w:rPr>
                <w:rFonts w:cs="Times New Roman"/>
                <w:sz w:val="24"/>
                <w:szCs w:val="24"/>
                <w:shd w:fill="FFFFFF" w:val="clear"/>
                <w:lang w:val="uk-UA"/>
              </w:rPr>
            </w:pPr>
            <w:r>
              <w:rPr>
                <w:rFonts w:eastAsia="맑은 고딕" w:cs="Times New Roman"/>
                <w:kern w:val="0"/>
                <w:sz w:val="24"/>
                <w:szCs w:val="24"/>
                <w:shd w:fill="FFFFFF" w:val="clear"/>
                <w:lang w:val="uk-UA" w:eastAsia="ko-KR" w:bidi="ar-SA"/>
              </w:rPr>
              <w:t>Постійно</w:t>
            </w:r>
          </w:p>
        </w:tc>
        <w:tc>
          <w:tcPr>
            <w:tcW w:w="2474" w:type="dxa"/>
            <w:tcBorders>
              <w:bottom w:val="nil"/>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Козуб В.В.,</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Литвинюк О.В.,</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Бількевич О.А.,</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shd w:fill="FFFFFF" w:val="clear"/>
                <w:lang w:val="uk-UA" w:eastAsia="ko-KR" w:bidi="ar-SA"/>
              </w:rPr>
              <w:t>Таран В.Г.</w:t>
            </w:r>
          </w:p>
        </w:tc>
        <w:tc>
          <w:tcPr>
            <w:tcW w:w="5356" w:type="dxa"/>
            <w:tcBorders>
              <w:bottom w:val="nil"/>
            </w:tcBorders>
            <w:tcMar>
              <w:top w:w="0" w:type="dxa"/>
              <w:bottom w:w="0" w:type="dxa"/>
            </w:tcMar>
          </w:tcPr>
          <w:p>
            <w:pPr>
              <w:pStyle w:val="NoSpacing"/>
              <w:widowControl/>
              <w:suppressAutoHyphens w:val="true"/>
              <w:spacing w:before="0" w:after="0"/>
              <w:jc w:val="both"/>
              <w:rPr>
                <w:rFonts w:cs="Times New Roman"/>
                <w:sz w:val="24"/>
                <w:szCs w:val="24"/>
                <w:shd w:fill="FFFFFF" w:val="clear"/>
                <w:lang w:val="uk-UA"/>
              </w:rPr>
            </w:pPr>
            <w:r>
              <w:rPr>
                <w:rFonts w:eastAsia="맑은 고딕" w:cs="Times New Roman"/>
                <w:kern w:val="0"/>
                <w:sz w:val="24"/>
                <w:szCs w:val="24"/>
                <w:shd w:fill="FFFFFF" w:val="clear"/>
                <w:lang w:val="uk-UA" w:eastAsia="ko-KR" w:bidi="ar-SA"/>
              </w:rPr>
              <w:t>1. Забезпечено ведення журналу обліку працівників, притягнутих до відповідальності за вчинення корупційних правопорушень або правопорушень, пов’язаних з корупцією.</w:t>
            </w:r>
          </w:p>
          <w:p>
            <w:pPr>
              <w:pStyle w:val="NoSpacing"/>
              <w:widowControl/>
              <w:suppressAutoHyphens w:val="true"/>
              <w:spacing w:before="0" w:after="0"/>
              <w:jc w:val="both"/>
              <w:rPr>
                <w:rFonts w:cs="Times New Roman"/>
                <w:sz w:val="24"/>
                <w:szCs w:val="24"/>
                <w:shd w:fill="FFFFFF" w:val="clear"/>
                <w:lang w:val="uk-UA"/>
              </w:rPr>
            </w:pPr>
            <w:r>
              <w:rPr>
                <w:rFonts w:eastAsia="맑은 고딕" w:cs="Times New Roman"/>
                <w:kern w:val="0"/>
                <w:sz w:val="24"/>
                <w:szCs w:val="24"/>
                <w:shd w:fill="FFFFFF" w:val="clear"/>
                <w:lang w:val="uk-UA" w:eastAsia="ko-KR" w:bidi="ar-SA"/>
              </w:rPr>
              <w:t>2. Здійснено моніторинг офіційного вебпорталу “Судова влада України”, Єдиного державного реєстру судових рішень, у разі отримання офіційної інформації стосовно вчинення працівником корупційного правопорушення або правопорушення, пов’язаного з корупцією, з метою отримання інформації щодо результатів розгляду відповідної справи судом (за наявності підстав).</w:t>
            </w:r>
          </w:p>
          <w:p>
            <w:pPr>
              <w:pStyle w:val="NoSpacing"/>
              <w:widowControl/>
              <w:suppressAutoHyphens w:val="true"/>
              <w:spacing w:before="0" w:after="0"/>
              <w:jc w:val="both"/>
              <w:rPr>
                <w:rFonts w:cs="Times New Roman"/>
                <w:sz w:val="24"/>
                <w:szCs w:val="24"/>
                <w:shd w:fill="FFFFFF" w:val="clear"/>
                <w:lang w:val="uk-UA"/>
              </w:rPr>
            </w:pPr>
            <w:r>
              <w:rPr>
                <w:rFonts w:eastAsia="맑은 고딕" w:cs="Times New Roman"/>
                <w:kern w:val="0"/>
                <w:sz w:val="24"/>
                <w:szCs w:val="24"/>
                <w:shd w:fill="FFFFFF" w:val="clear"/>
                <w:lang w:val="uk-UA" w:eastAsia="ko-KR" w:bidi="ar-SA"/>
              </w:rPr>
              <w:t>3. Здійснено моніторинг Єдиного державного реєстру осіб, які вчинили корупційні або пов’язані з корупцією правопорушення, з метою забезпечення дотримання Головним управлінням вимог частини першої статті 59 та частини другої статті 65</w:t>
            </w:r>
            <w:r>
              <w:rPr>
                <w:rFonts w:eastAsia="맑은 고딕" w:cs="Times New Roman"/>
                <w:kern w:val="0"/>
                <w:sz w:val="24"/>
                <w:szCs w:val="24"/>
                <w:shd w:fill="FFFFFF" w:val="clear"/>
                <w:vertAlign w:val="superscript"/>
                <w:lang w:val="uk-UA" w:eastAsia="ko-KR" w:bidi="ar-SA"/>
              </w:rPr>
              <w:t>1</w:t>
            </w:r>
            <w:r>
              <w:rPr>
                <w:rFonts w:eastAsia="맑은 고딕" w:cs="Times New Roman"/>
                <w:kern w:val="0"/>
                <w:sz w:val="24"/>
                <w:szCs w:val="24"/>
                <w:shd w:fill="FFFFFF" w:val="clear"/>
                <w:lang w:val="uk-UA" w:eastAsia="ko-KR" w:bidi="ar-SA"/>
              </w:rPr>
              <w:t xml:space="preserve"> Закону України “Про запобігання корупції” (за наявності підстав).</w:t>
            </w:r>
          </w:p>
          <w:p>
            <w:pPr>
              <w:pStyle w:val="NoSpacing"/>
              <w:widowControl/>
              <w:suppressAutoHyphens w:val="true"/>
              <w:spacing w:before="0" w:after="0"/>
              <w:jc w:val="both"/>
              <w:rPr>
                <w:rFonts w:cs="Times New Roman"/>
                <w:sz w:val="24"/>
                <w:szCs w:val="24"/>
                <w:shd w:fill="FFFFFF" w:val="clear"/>
                <w:lang w:val="uk-UA"/>
              </w:rPr>
            </w:pPr>
            <w:r>
              <w:rPr>
                <w:rFonts w:eastAsia="맑은 고딕" w:cs="Times New Roman"/>
                <w:kern w:val="0"/>
                <w:sz w:val="24"/>
                <w:szCs w:val="24"/>
                <w:shd w:fill="FFFFFF" w:val="clear"/>
                <w:lang w:val="uk-UA" w:eastAsia="ko-KR" w:bidi="ar-SA"/>
              </w:rPr>
              <w:t xml:space="preserve">4. Повідомлено у письмовій формі начальника Головного управління про вчинення працівниками корупційних правопорушень або правопорушень, пов’язаних з корупцією та інших порушень вимог Закону України </w:t>
            </w:r>
            <w:r>
              <w:rPr>
                <w:rFonts w:eastAsia="맑은 고딕" w:cs="Times New Roman"/>
                <w:kern w:val="0"/>
                <w:sz w:val="24"/>
                <w:szCs w:val="24"/>
                <w:lang w:val="uk-UA" w:eastAsia="ko-KR" w:bidi="ar-SA"/>
              </w:rPr>
              <w:t xml:space="preserve">“Про запобігання корупції” </w:t>
            </w:r>
            <w:r>
              <w:rPr>
                <w:rFonts w:eastAsia="맑은 고딕" w:cs="Times New Roman"/>
                <w:kern w:val="0"/>
                <w:sz w:val="24"/>
                <w:szCs w:val="24"/>
                <w:shd w:fill="FFFFFF" w:val="clear"/>
                <w:lang w:val="uk-UA" w:eastAsia="ko-KR" w:bidi="ar-SA"/>
              </w:rPr>
              <w:t>з метою забезпечення дотримання вимог частин другої, четвертої та п’ятої статті 65</w:t>
            </w:r>
            <w:r>
              <w:rPr>
                <w:rFonts w:eastAsia="맑은 고딕" w:cs="Times New Roman"/>
                <w:kern w:val="0"/>
                <w:sz w:val="24"/>
                <w:szCs w:val="24"/>
                <w:shd w:fill="FFFFFF" w:val="clear"/>
                <w:vertAlign w:val="superscript"/>
                <w:lang w:val="uk-UA" w:eastAsia="ko-KR" w:bidi="ar-SA"/>
              </w:rPr>
              <w:t>1</w:t>
            </w:r>
            <w:r>
              <w:rPr>
                <w:rFonts w:eastAsia="맑은 고딕" w:cs="Times New Roman"/>
                <w:kern w:val="0"/>
                <w:sz w:val="24"/>
                <w:szCs w:val="24"/>
                <w:shd w:fill="FFFFFF" w:val="clear"/>
                <w:lang w:val="uk-UA" w:eastAsia="ko-KR" w:bidi="ar-SA"/>
              </w:rPr>
              <w:t xml:space="preserve"> Закону України </w:t>
            </w:r>
            <w:r>
              <w:rPr>
                <w:rFonts w:eastAsia="맑은 고딕" w:cs="Times New Roman"/>
                <w:kern w:val="0"/>
                <w:sz w:val="24"/>
                <w:szCs w:val="24"/>
                <w:lang w:val="uk-UA" w:eastAsia="ko-KR" w:bidi="ar-SA"/>
              </w:rPr>
              <w:t>“Про запобігання корупції”</w:t>
            </w:r>
          </w:p>
        </w:tc>
      </w:tr>
      <w:tr>
        <w:trPr/>
        <w:tc>
          <w:tcPr>
            <w:tcW w:w="519" w:type="dxa"/>
            <w:tcBorders/>
            <w:tcMar>
              <w:top w:w="0" w:type="dxa"/>
              <w:bottom w:w="0" w:type="dxa"/>
            </w:tcMar>
          </w:tcPr>
          <w:p>
            <w:pPr>
              <w:pStyle w:val="NoSpacing"/>
              <w:widowControl/>
              <w:numPr>
                <w:ilvl w:val="0"/>
                <w:numId w:val="1"/>
              </w:numPr>
              <w:suppressAutoHyphens w:val="true"/>
              <w:spacing w:before="0" w:after="0"/>
              <w:ind w:hanging="0" w:left="0" w:right="4144"/>
              <w:jc w:val="both"/>
              <w:rPr>
                <w:rFonts w:cs="Times New Roman"/>
                <w:sz w:val="24"/>
                <w:szCs w:val="24"/>
                <w:shd w:fill="FFFFFF" w:val="clear"/>
                <w:lang w:val="uk-UA"/>
              </w:rPr>
            </w:pPr>
            <w:r>
              <w:rPr>
                <w:rFonts w:cs="Times New Roman"/>
                <w:sz w:val="24"/>
                <w:szCs w:val="24"/>
                <w:shd w:fill="FFFFFF" w:val="clear"/>
                <w:lang w:val="uk-UA"/>
              </w:rPr>
            </w:r>
          </w:p>
        </w:tc>
        <w:tc>
          <w:tcPr>
            <w:tcW w:w="4138" w:type="dxa"/>
            <w:tcBorders/>
            <w:tcMar>
              <w:top w:w="0" w:type="dxa"/>
              <w:bottom w:w="0" w:type="dxa"/>
            </w:tcMar>
          </w:tcPr>
          <w:p>
            <w:pPr>
              <w:pStyle w:val="NoSpacing"/>
              <w:widowControl/>
              <w:suppressAutoHyphens w:val="true"/>
              <w:spacing w:before="0" w:after="0"/>
              <w:jc w:val="both"/>
              <w:rPr>
                <w:rFonts w:cs="Times New Roman"/>
                <w:sz w:val="24"/>
                <w:szCs w:val="24"/>
                <w:shd w:fill="FFFFFF" w:val="clear"/>
                <w:lang w:val="uk-UA"/>
              </w:rPr>
            </w:pPr>
            <w:r>
              <w:rPr>
                <w:rFonts w:eastAsia="맑은 고딕" w:cs="Times New Roman"/>
                <w:kern w:val="0"/>
                <w:sz w:val="24"/>
                <w:szCs w:val="24"/>
                <w:shd w:fill="FFFFFF" w:val="clear"/>
                <w:lang w:val="uk-UA" w:eastAsia="ko-KR" w:bidi="ar-SA"/>
              </w:rPr>
              <w:t xml:space="preserve">Залучення громадськості до формування, реалізації та моніторингу антикорупційної політики </w:t>
            </w:r>
            <w:r>
              <w:rPr>
                <w:rFonts w:eastAsia="맑은 고딕" w:cs="Times New Roman"/>
                <w:kern w:val="0"/>
                <w:sz w:val="24"/>
                <w:szCs w:val="24"/>
                <w:lang w:val="uk-UA" w:eastAsia="ko-KR" w:bidi="ar-SA"/>
              </w:rPr>
              <w:t>Пенсійного фонду</w:t>
            </w:r>
          </w:p>
        </w:tc>
        <w:tc>
          <w:tcPr>
            <w:tcW w:w="2109" w:type="dxa"/>
            <w:tcBorders/>
            <w:tcMar>
              <w:top w:w="0" w:type="dxa"/>
              <w:bottom w:w="0" w:type="dxa"/>
            </w:tcMar>
          </w:tcPr>
          <w:p>
            <w:pPr>
              <w:pStyle w:val="NoSpacing"/>
              <w:widowControl/>
              <w:suppressAutoHyphens w:val="true"/>
              <w:spacing w:before="0" w:after="0"/>
              <w:jc w:val="center"/>
              <w:rPr>
                <w:rFonts w:cs="Times New Roman"/>
                <w:sz w:val="24"/>
                <w:szCs w:val="24"/>
                <w:shd w:fill="FFFFFF" w:val="clear"/>
                <w:lang w:val="uk-UA"/>
              </w:rPr>
            </w:pPr>
            <w:r>
              <w:rPr>
                <w:rFonts w:eastAsia="맑은 고딕" w:cs="Times New Roman"/>
                <w:kern w:val="0"/>
                <w:sz w:val="24"/>
                <w:szCs w:val="24"/>
                <w:shd w:fill="FFFFFF" w:val="clear"/>
                <w:lang w:val="uk-UA" w:eastAsia="ko-KR" w:bidi="ar-SA"/>
              </w:rPr>
              <w:t>Постійно</w:t>
            </w:r>
          </w:p>
        </w:tc>
        <w:tc>
          <w:tcPr>
            <w:tcW w:w="2474" w:type="dxa"/>
            <w:tcBorders/>
            <w:tcMar>
              <w:top w:w="0" w:type="dxa"/>
              <w:bottom w:w="0" w:type="dxa"/>
            </w:tcMar>
          </w:tcPr>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Козуб В.В.,</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Литвинюк О.В.,</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lang w:val="uk-UA" w:eastAsia="ko-KR" w:bidi="ar-SA"/>
              </w:rPr>
              <w:t>Бількевич О.А.,</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shd w:fill="FFFFFF" w:val="clear"/>
                <w:lang w:val="uk-UA" w:eastAsia="ko-KR" w:bidi="ar-SA"/>
              </w:rPr>
              <w:t>Таран В.Г.;</w:t>
            </w:r>
          </w:p>
          <w:p>
            <w:pPr>
              <w:pStyle w:val="NoSpacing"/>
              <w:widowControl/>
              <w:suppressAutoHyphens w:val="true"/>
              <w:spacing w:before="0" w:after="0"/>
              <w:jc w:val="center"/>
              <w:rPr>
                <w:rFonts w:cs="Times New Roman"/>
                <w:sz w:val="24"/>
                <w:szCs w:val="24"/>
                <w:lang w:val="uk-UA"/>
              </w:rPr>
            </w:pPr>
            <w:r>
              <w:rPr>
                <w:rFonts w:eastAsia="맑은 고딕" w:cs="Times New Roman"/>
                <w:kern w:val="0"/>
                <w:sz w:val="24"/>
                <w:szCs w:val="24"/>
                <w:shd w:fill="FFFFFF" w:val="clear"/>
                <w:lang w:val="uk-UA" w:eastAsia="ko-KR" w:bidi="ar-SA"/>
              </w:rPr>
              <w:t>Відділ інформаційно-організаційної роботи</w:t>
            </w:r>
          </w:p>
          <w:p>
            <w:pPr>
              <w:pStyle w:val="NoSpacing"/>
              <w:widowControl/>
              <w:suppressAutoHyphens w:val="true"/>
              <w:spacing w:before="0" w:after="0"/>
              <w:jc w:val="center"/>
              <w:rPr>
                <w:rFonts w:cs="Times New Roman"/>
                <w:sz w:val="24"/>
                <w:szCs w:val="24"/>
                <w:lang w:val="uk-UA"/>
              </w:rPr>
            </w:pPr>
            <w:r>
              <w:rPr>
                <w:rFonts w:cs="Times New Roman"/>
                <w:sz w:val="24"/>
                <w:szCs w:val="24"/>
                <w:lang w:val="uk-UA"/>
              </w:rPr>
            </w:r>
          </w:p>
        </w:tc>
        <w:tc>
          <w:tcPr>
            <w:tcW w:w="5356" w:type="dxa"/>
            <w:tcBorders/>
            <w:tcMar>
              <w:top w:w="0" w:type="dxa"/>
              <w:bottom w:w="0" w:type="dxa"/>
            </w:tcMar>
          </w:tcPr>
          <w:p>
            <w:pPr>
              <w:pStyle w:val="NoSpacing"/>
              <w:widowControl/>
              <w:suppressAutoHyphens w:val="true"/>
              <w:spacing w:before="0" w:after="0"/>
              <w:jc w:val="both"/>
              <w:rPr>
                <w:rFonts w:cs="Times New Roman"/>
                <w:sz w:val="24"/>
                <w:szCs w:val="24"/>
                <w:shd w:fill="FFFFFF" w:val="clear"/>
                <w:lang w:val="uk-UA"/>
              </w:rPr>
            </w:pPr>
            <w:r>
              <w:rPr>
                <w:rFonts w:eastAsia="맑은 고딕" w:cs="Times New Roman"/>
                <w:kern w:val="0"/>
                <w:sz w:val="24"/>
                <w:szCs w:val="24"/>
                <w:shd w:fill="FFFFFF" w:val="clear"/>
                <w:lang w:val="uk-UA" w:eastAsia="ko-KR" w:bidi="ar-SA"/>
              </w:rPr>
              <w:t xml:space="preserve">1. Забезпечено опублікування матеріалів антикорупційного спрямування на інформаційній сторінці Головного управління вебпорталу електронних послуг </w:t>
            </w:r>
            <w:r>
              <w:rPr>
                <w:rFonts w:eastAsia="맑은 고딕" w:cs="Times New Roman"/>
                <w:kern w:val="0"/>
                <w:sz w:val="24"/>
                <w:szCs w:val="24"/>
                <w:lang w:val="uk-UA" w:eastAsia="ko-KR" w:bidi="ar-SA"/>
              </w:rPr>
              <w:t>Пенсійного фонду</w:t>
            </w:r>
            <w:r>
              <w:rPr>
                <w:rFonts w:eastAsia="맑은 고딕" w:cs="Times New Roman"/>
                <w:kern w:val="0"/>
                <w:sz w:val="24"/>
                <w:szCs w:val="24"/>
                <w:shd w:fill="FFFFFF" w:val="clear"/>
                <w:lang w:val="uk-UA" w:eastAsia="ko-KR" w:bidi="ar-SA"/>
              </w:rPr>
              <w:t xml:space="preserve"> з метою залучення широкого кола громадськості та експертів до формування, реалізації та моніторингу антикорупційної політики </w:t>
            </w:r>
            <w:r>
              <w:rPr>
                <w:rFonts w:eastAsia="맑은 고딕" w:cs="Times New Roman"/>
                <w:kern w:val="0"/>
                <w:sz w:val="24"/>
                <w:szCs w:val="24"/>
                <w:lang w:val="uk-UA" w:eastAsia="ko-KR" w:bidi="ar-SA"/>
              </w:rPr>
              <w:t>Пенсійного фонду</w:t>
            </w:r>
          </w:p>
        </w:tc>
      </w:tr>
    </w:tbl>
    <w:p>
      <w:pPr>
        <w:pStyle w:val="NoSpacing"/>
        <w:jc w:val="both"/>
        <w:rPr>
          <w:rFonts w:cs="Times New Roman"/>
          <w:sz w:val="24"/>
          <w:szCs w:val="24"/>
          <w:shd w:fill="FFFFFF" w:val="clear"/>
          <w:lang w:val="uk-UA"/>
        </w:rPr>
      </w:pPr>
      <w:r>
        <w:rPr>
          <w:rFonts w:cs="Times New Roman"/>
          <w:sz w:val="24"/>
          <w:szCs w:val="24"/>
          <w:shd w:fill="FFFFFF" w:val="clear"/>
          <w:lang w:val="uk-UA"/>
        </w:rPr>
      </w:r>
    </w:p>
    <w:p>
      <w:pPr>
        <w:pStyle w:val="NoSpacing"/>
        <w:jc w:val="center"/>
        <w:rPr>
          <w:lang w:val="en-US"/>
        </w:rPr>
      </w:pPr>
      <w:r>
        <w:rPr>
          <w:lang w:val="en-US"/>
        </w:rPr>
        <w:t>________________________</w:t>
      </w:r>
    </w:p>
    <w:sectPr>
      <w:headerReference w:type="even" r:id="rId2"/>
      <w:headerReference w:type="default" r:id="rId3"/>
      <w:headerReference w:type="first" r:id="rId4"/>
      <w:type w:val="nextPage"/>
      <w:pgSz w:orient="landscape" w:w="16838" w:h="11906"/>
      <w:pgMar w:left="1701" w:right="567" w:gutter="0" w:header="708" w:top="1134" w:footer="0" w:bottom="1134"/>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Antiqua">
    <w:charset w:val="cc"/>
    <w:family w:val="roman"/>
    <w:pitch w:val="variable"/>
  </w:font>
  <w:font w:name="Segoe UI">
    <w:charset w:val="cc"/>
    <w:family w:val="roman"/>
    <w:pitch w:val="variable"/>
  </w:font>
  <w:font w:name="Liberation Sans">
    <w:altName w:val="Arial"/>
    <w:charset w:val="cc"/>
    <w:family w:val="roman"/>
    <w:pitch w:val="variable"/>
  </w:font>
  <w:font w:name="Courier New">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331427274"/>
    </w:sdtPr>
    <w:sdtContent>
      <w:p>
        <w:pPr>
          <w:pStyle w:val="Header"/>
          <w:jc w:val="center"/>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fldChar w:fldCharType="begin"/>
        </w:r>
        <w:r>
          <w:rPr>
            <w:sz w:val="24"/>
            <w:szCs w:val="24"/>
            <w:rFonts w:cs="Times New Roman" w:ascii="Times New Roman" w:hAnsi="Times New Roman"/>
          </w:rPr>
          <w:instrText xml:space="preserve"> PAGE </w:instrText>
        </w:r>
        <w:r>
          <w:rPr>
            <w:sz w:val="24"/>
            <w:szCs w:val="24"/>
            <w:rFonts w:cs="Times New Roman" w:ascii="Times New Roman" w:hAnsi="Times New Roman"/>
          </w:rPr>
          <w:fldChar w:fldCharType="separate"/>
        </w:r>
        <w:r>
          <w:rPr>
            <w:sz w:val="24"/>
            <w:szCs w:val="24"/>
            <w:rFonts w:cs="Times New Roman" w:ascii="Times New Roman" w:hAnsi="Times New Roman"/>
          </w:rPr>
          <w:t>8</w:t>
        </w:r>
        <w:r>
          <w:rPr>
            <w:sz w:val="24"/>
            <w:szCs w:val="24"/>
            <w:rFonts w:cs="Times New Roman" w:ascii="Times New Roman" w:hAnsi="Times New Roman"/>
          </w:rPr>
          <w:fldChar w:fldCharType="end"/>
        </w:r>
        <w:r>
          <w:rPr>
            <w:rFonts w:cs="Times New Roman" w:ascii="Times New Roman" w:hAnsi="Times New Roman"/>
            <w:sz w:val="24"/>
            <w:szCs w:val="24"/>
          </w:rPr>
          <w:t xml:space="preserve">                                                                                                               </w:t>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644" w:hanging="360"/>
      </w:pPr>
      <w:rPr/>
    </w:lvl>
    <w:lvl w:ilvl="1">
      <w:start w:val="1"/>
      <w:numFmt w:val="lowerLetter"/>
      <w:lvlText w:val="%2."/>
      <w:lvlJc w:val="left"/>
      <w:pPr>
        <w:tabs>
          <w:tab w:val="num" w:pos="0"/>
        </w:tabs>
        <w:ind w:left="1193" w:hanging="360"/>
      </w:pPr>
      <w:rPr/>
    </w:lvl>
    <w:lvl w:ilvl="2">
      <w:start w:val="1"/>
      <w:numFmt w:val="lowerRoman"/>
      <w:lvlText w:val="%3."/>
      <w:lvlJc w:val="right"/>
      <w:pPr>
        <w:tabs>
          <w:tab w:val="num" w:pos="0"/>
        </w:tabs>
        <w:ind w:left="1913" w:hanging="180"/>
      </w:pPr>
      <w:rPr/>
    </w:lvl>
    <w:lvl w:ilvl="3">
      <w:start w:val="1"/>
      <w:numFmt w:val="decimal"/>
      <w:lvlText w:val="%4."/>
      <w:lvlJc w:val="left"/>
      <w:pPr>
        <w:tabs>
          <w:tab w:val="num" w:pos="0"/>
        </w:tabs>
        <w:ind w:left="2633" w:hanging="360"/>
      </w:pPr>
      <w:rPr/>
    </w:lvl>
    <w:lvl w:ilvl="4">
      <w:start w:val="1"/>
      <w:numFmt w:val="lowerLetter"/>
      <w:lvlText w:val="%5."/>
      <w:lvlJc w:val="left"/>
      <w:pPr>
        <w:tabs>
          <w:tab w:val="num" w:pos="0"/>
        </w:tabs>
        <w:ind w:left="3353" w:hanging="360"/>
      </w:pPr>
      <w:rPr/>
    </w:lvl>
    <w:lvl w:ilvl="5">
      <w:start w:val="1"/>
      <w:numFmt w:val="lowerRoman"/>
      <w:lvlText w:val="%6."/>
      <w:lvlJc w:val="right"/>
      <w:pPr>
        <w:tabs>
          <w:tab w:val="num" w:pos="0"/>
        </w:tabs>
        <w:ind w:left="4073" w:hanging="180"/>
      </w:pPr>
      <w:rPr/>
    </w:lvl>
    <w:lvl w:ilvl="6">
      <w:start w:val="1"/>
      <w:numFmt w:val="decimal"/>
      <w:lvlText w:val="%7."/>
      <w:lvlJc w:val="left"/>
      <w:pPr>
        <w:tabs>
          <w:tab w:val="num" w:pos="0"/>
        </w:tabs>
        <w:ind w:left="4793" w:hanging="360"/>
      </w:pPr>
      <w:rPr/>
    </w:lvl>
    <w:lvl w:ilvl="7">
      <w:start w:val="1"/>
      <w:numFmt w:val="lowerLetter"/>
      <w:lvlText w:val="%8."/>
      <w:lvlJc w:val="left"/>
      <w:pPr>
        <w:tabs>
          <w:tab w:val="num" w:pos="0"/>
        </w:tabs>
        <w:ind w:left="5513" w:hanging="360"/>
      </w:pPr>
      <w:rPr/>
    </w:lvl>
    <w:lvl w:ilvl="8">
      <w:start w:val="1"/>
      <w:numFmt w:val="lowerRoman"/>
      <w:lvlText w:val="%9."/>
      <w:lvlJc w:val="right"/>
      <w:pPr>
        <w:tabs>
          <w:tab w:val="num" w:pos="0"/>
        </w:tabs>
        <w:ind w:left="6233"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ko-KR"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 w:cs="Calibri" w:cstheme="minorHAnsi" w:eastAsiaTheme="minorEastAsia"/>
        <w:sz w:val="28"/>
        <w:szCs w:val="22"/>
        <w:lang w:val="ru-RU" w:eastAsia="ko-KR"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70c9e"/>
    <w:pPr>
      <w:widowControl/>
      <w:suppressAutoHyphens w:val="true"/>
      <w:bidi w:val="0"/>
      <w:spacing w:lineRule="auto" w:line="240" w:before="0" w:after="0"/>
      <w:jc w:val="left"/>
    </w:pPr>
    <w:rPr>
      <w:rFonts w:ascii="Antiqua" w:hAnsi="Antiqua" w:eastAsia="Antiqua" w:cs="Antiqua"/>
      <w:color w:val="auto"/>
      <w:kern w:val="0"/>
      <w:sz w:val="26"/>
      <w:szCs w:val="26"/>
      <w:lang w:val="uk-UA" w:eastAsia="uk-UA" w:bidi="ar-SA"/>
    </w:rPr>
  </w:style>
  <w:style w:type="character" w:styleId="DefaultParagraphFont" w:default="1">
    <w:name w:val="Default Paragraph Font"/>
    <w:uiPriority w:val="1"/>
    <w:semiHidden/>
    <w:unhideWhenUsed/>
    <w:qFormat/>
    <w:rPr/>
  </w:style>
  <w:style w:type="character" w:styleId="Style14" w:customStyle="1">
    <w:name w:val="Верхній колонтитул Знак"/>
    <w:basedOn w:val="DefaultParagraphFont"/>
    <w:uiPriority w:val="99"/>
    <w:qFormat/>
    <w:rsid w:val="00e857c7"/>
    <w:rPr/>
  </w:style>
  <w:style w:type="character" w:styleId="Style15" w:customStyle="1">
    <w:name w:val="Нижній колонтитул Знак"/>
    <w:basedOn w:val="DefaultParagraphFont"/>
    <w:uiPriority w:val="99"/>
    <w:qFormat/>
    <w:rsid w:val="00e857c7"/>
    <w:rPr/>
  </w:style>
  <w:style w:type="character" w:styleId="InternetLink">
    <w:name w:val="Internet Link"/>
    <w:basedOn w:val="DefaultParagraphFont"/>
    <w:uiPriority w:val="99"/>
    <w:semiHidden/>
    <w:unhideWhenUsed/>
    <w:qFormat/>
    <w:rsid w:val="001a7578"/>
    <w:rPr>
      <w:color w:val="0000FF"/>
      <w:u w:val="single"/>
    </w:rPr>
  </w:style>
  <w:style w:type="character" w:styleId="rvts37" w:customStyle="1">
    <w:name w:val="rvts37"/>
    <w:basedOn w:val="DefaultParagraphFont"/>
    <w:qFormat/>
    <w:rsid w:val="0013414c"/>
    <w:rPr/>
  </w:style>
  <w:style w:type="character" w:styleId="Style16" w:customStyle="1">
    <w:name w:val="Текст примітки Знак"/>
    <w:basedOn w:val="DefaultParagraphFont"/>
    <w:qFormat/>
    <w:rsid w:val="00fe3c45"/>
    <w:rPr>
      <w:rFonts w:eastAsia="Times New Roman" w:cs="Times New Roman"/>
      <w:sz w:val="20"/>
      <w:szCs w:val="20"/>
      <w:lang w:val="uk-UA" w:eastAsia="x-none"/>
    </w:rPr>
  </w:style>
  <w:style w:type="character" w:styleId="rvts23" w:customStyle="1">
    <w:name w:val="rvts23"/>
    <w:basedOn w:val="DefaultParagraphFont"/>
    <w:qFormat/>
    <w:rsid w:val="00af057a"/>
    <w:rPr/>
  </w:style>
  <w:style w:type="character" w:styleId="Style17" w:customStyle="1">
    <w:name w:val="Текст у виносці Знак"/>
    <w:basedOn w:val="DefaultParagraphFont"/>
    <w:link w:val="BalloonText"/>
    <w:uiPriority w:val="99"/>
    <w:semiHidden/>
    <w:qFormat/>
    <w:rsid w:val="002b352e"/>
    <w:rPr>
      <w:rFonts w:ascii="Segoe UI" w:hAnsi="Segoe UI" w:eastAsia="Antiqua" w:cs="Segoe UI"/>
      <w:sz w:val="18"/>
      <w:szCs w:val="18"/>
      <w:lang w:val="uk-UA" w:eastAsia="uk-UA"/>
    </w:rPr>
  </w:style>
  <w:style w:type="paragraph" w:styleId="Style18">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9">
    <w:name w:val="Покажчик"/>
    <w:basedOn w:val="Normal"/>
    <w:qFormat/>
    <w:pPr>
      <w:suppressLineNumbers/>
    </w:pPr>
    <w:rPr>
      <w:rFonts w:cs="Arial"/>
    </w:rPr>
  </w:style>
  <w:style w:type="paragraph" w:styleId="NoSpacing">
    <w:name w:val="No Spacing"/>
    <w:uiPriority w:val="1"/>
    <w:qFormat/>
    <w:rsid w:val="000a0575"/>
    <w:pPr>
      <w:widowControl/>
      <w:suppressAutoHyphens w:val="true"/>
      <w:bidi w:val="0"/>
      <w:spacing w:lineRule="auto" w:line="240" w:before="0" w:after="0"/>
      <w:jc w:val="left"/>
    </w:pPr>
    <w:rPr>
      <w:rFonts w:ascii="Times New Roman" w:hAnsi="Times New Roman" w:eastAsia="" w:cs="Calibri" w:cstheme="minorHAnsi" w:eastAsiaTheme="minorEastAsia"/>
      <w:color w:val="auto"/>
      <w:kern w:val="0"/>
      <w:sz w:val="28"/>
      <w:szCs w:val="22"/>
      <w:lang w:val="ru-RU" w:eastAsia="ko-KR" w:bidi="ar-SA"/>
    </w:rPr>
  </w:style>
  <w:style w:type="paragraph" w:styleId="HeaderandFooter">
    <w:name w:val="Header and Footer"/>
    <w:basedOn w:val="Normal"/>
    <w:qFormat/>
    <w:pPr/>
    <w:rPr/>
  </w:style>
  <w:style w:type="paragraph" w:styleId="Header">
    <w:name w:val="Header"/>
    <w:basedOn w:val="Normal"/>
    <w:link w:val="Style14"/>
    <w:uiPriority w:val="99"/>
    <w:unhideWhenUsed/>
    <w:rsid w:val="00e857c7"/>
    <w:pPr>
      <w:tabs>
        <w:tab w:val="clear" w:pos="708"/>
        <w:tab w:val="center" w:pos="4677" w:leader="none"/>
        <w:tab w:val="right" w:pos="9355" w:leader="none"/>
      </w:tabs>
    </w:pPr>
    <w:rPr/>
  </w:style>
  <w:style w:type="paragraph" w:styleId="Footer">
    <w:name w:val="Footer"/>
    <w:basedOn w:val="Normal"/>
    <w:link w:val="Style15"/>
    <w:uiPriority w:val="99"/>
    <w:unhideWhenUsed/>
    <w:rsid w:val="00e857c7"/>
    <w:pPr>
      <w:tabs>
        <w:tab w:val="clear" w:pos="708"/>
        <w:tab w:val="center" w:pos="4677" w:leader="none"/>
        <w:tab w:val="right" w:pos="9355" w:leader="none"/>
      </w:tabs>
    </w:pPr>
    <w:rPr/>
  </w:style>
  <w:style w:type="paragraph" w:styleId="AnnotationText">
    <w:name w:val="Annotation Text"/>
    <w:basedOn w:val="Normal"/>
    <w:link w:val="Style16"/>
    <w:rsid w:val="00fe3c45"/>
    <w:pPr/>
    <w:rPr>
      <w:rFonts w:eastAsia="Times New Roman" w:cs="Times New Roman"/>
      <w:sz w:val="20"/>
      <w:szCs w:val="20"/>
      <w:lang w:eastAsia="x-none"/>
    </w:rPr>
  </w:style>
  <w:style w:type="paragraph" w:styleId="ListParagraph">
    <w:name w:val="List Paragraph"/>
    <w:basedOn w:val="Normal"/>
    <w:uiPriority w:val="34"/>
    <w:qFormat/>
    <w:rsid w:val="00fe3c45"/>
    <w:pPr>
      <w:widowControl w:val="false"/>
      <w:spacing w:before="0" w:after="0"/>
      <w:ind w:left="720"/>
      <w:contextualSpacing/>
    </w:pPr>
    <w:rPr>
      <w:rFonts w:ascii="Courier New" w:hAnsi="Courier New" w:eastAsia="Courier New" w:cs="Courier New"/>
      <w:color w:val="000000"/>
      <w:sz w:val="24"/>
      <w:szCs w:val="24"/>
    </w:rPr>
  </w:style>
  <w:style w:type="paragraph" w:styleId="Default" w:customStyle="1">
    <w:name w:val="Default"/>
    <w:qFormat/>
    <w:rsid w:val="00440c57"/>
    <w:pPr>
      <w:widowControl/>
      <w:suppressAutoHyphens w:val="true"/>
      <w:bidi w:val="0"/>
      <w:spacing w:lineRule="auto" w:line="240" w:before="0" w:after="0"/>
      <w:jc w:val="left"/>
    </w:pPr>
    <w:rPr>
      <w:rFonts w:ascii="Times New Roman" w:hAnsi="Times New Roman" w:eastAsia="Calibri" w:cs="Times New Roman"/>
      <w:color w:val="000000"/>
      <w:kern w:val="0"/>
      <w:sz w:val="24"/>
      <w:szCs w:val="24"/>
      <w:lang w:val="ru-RU" w:eastAsia="en-US" w:bidi="ar-SA"/>
    </w:rPr>
  </w:style>
  <w:style w:type="paragraph" w:styleId="Revision">
    <w:name w:val="Revision"/>
    <w:uiPriority w:val="99"/>
    <w:semiHidden/>
    <w:qFormat/>
    <w:rsid w:val="000e43f4"/>
    <w:pPr>
      <w:widowControl/>
      <w:suppressAutoHyphens w:val="true"/>
      <w:bidi w:val="0"/>
      <w:spacing w:lineRule="auto" w:line="240" w:before="0" w:after="0"/>
      <w:jc w:val="left"/>
    </w:pPr>
    <w:rPr>
      <w:rFonts w:ascii="Times New Roman" w:hAnsi="Times New Roman" w:eastAsia="" w:cs="Calibri" w:cstheme="minorHAnsi" w:eastAsiaTheme="minorEastAsia"/>
      <w:color w:val="auto"/>
      <w:kern w:val="0"/>
      <w:sz w:val="28"/>
      <w:szCs w:val="22"/>
      <w:lang w:val="ru-RU" w:eastAsia="ko-KR" w:bidi="ar-SA"/>
    </w:rPr>
  </w:style>
  <w:style w:type="paragraph" w:styleId="rvps2" w:customStyle="1">
    <w:name w:val="rvps2"/>
    <w:basedOn w:val="Normal"/>
    <w:qFormat/>
    <w:rsid w:val="00d3281e"/>
    <w:pPr>
      <w:spacing w:beforeAutospacing="1" w:afterAutospacing="1"/>
    </w:pPr>
    <w:rPr>
      <w:rFonts w:eastAsia="Times New Roman" w:cs="Times New Roman"/>
      <w:sz w:val="24"/>
      <w:szCs w:val="24"/>
    </w:rPr>
  </w:style>
  <w:style w:type="paragraph" w:styleId="BalloonText">
    <w:name w:val="Balloon Text"/>
    <w:basedOn w:val="Normal"/>
    <w:link w:val="Style17"/>
    <w:uiPriority w:val="99"/>
    <w:semiHidden/>
    <w:unhideWhenUsed/>
    <w:qFormat/>
    <w:rsid w:val="002b352e"/>
    <w:pPr/>
    <w:rPr>
      <w:rFonts w:ascii="Segoe UI" w:hAnsi="Segoe UI" w:cs="Segoe UI"/>
      <w:sz w:val="18"/>
      <w:szCs w:val="18"/>
    </w:rPr>
  </w:style>
  <w:style w:type="numbering" w:styleId="Style20"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4">
    <w:name w:val="Table Grid"/>
    <w:basedOn w:val="a1"/>
    <w:uiPriority w:val="39"/>
    <w:rsid w:val="000c23b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242</TotalTime>
  <Application>LibreOffice/24.2.5.2$Windows_X86_64 LibreOffice_project/bffef4ea93e59bebbeaf7f431bb02b1a39ee8a59</Application>
  <AppVersion>15.0000</AppVersion>
  <Pages>8</Pages>
  <Words>1601</Words>
  <Characters>11499</Characters>
  <CharactersWithSpaces>13044</CharactersWithSpaces>
  <Paragraphs>161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2026-04-29T12:26:00Z</dcterms:created>
  <dc:creator>Potarzhevska Olesia</dc:creator>
  <dc:description/>
  <dc:language>uk-UA</dc:language>
  <cp:lastModifiedBy/>
  <dcterms:modified xsi:type="dcterms:W3CDTF">2026-06-08T10:50:26Z</dcterms:modified>
  <cp:revision>45</cp:revision>
  <dc:subject/>
  <dc:title/>
</cp:coreProperties>
</file>

<file path=docProps/custom.xml><?xml version="1.0" encoding="utf-8"?>
<Properties xmlns="http://schemas.openxmlformats.org/officeDocument/2006/custom-properties" xmlns:vt="http://schemas.openxmlformats.org/officeDocument/2006/docPropsVTypes"/>
</file>