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0"/>
        <w:ind w:hanging="0" w:left="8787" w:right="0"/>
        <w:jc w:val="right"/>
        <w:rPr>
          <w:highlight w:val="none"/>
          <w:shd w:fill="auto" w:val="clear"/>
        </w:rPr>
      </w:pPr>
      <w:r>
        <w:rPr>
          <w:sz w:val="27"/>
          <w:szCs w:val="27"/>
          <w:shd w:fill="auto" w:val="clear"/>
          <w:lang w:val="uk-UA"/>
        </w:rPr>
        <w:t>Додаток 7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8787" w:right="0"/>
        <w:jc w:val="left"/>
        <w:rPr>
          <w:highlight w:val="none"/>
          <w:shd w:fill="FFFF00" w:val="clear"/>
        </w:rPr>
      </w:pPr>
      <w:r>
        <w:rPr>
          <w:b/>
          <w:sz w:val="24"/>
          <w:szCs w:val="24"/>
          <w:shd w:fill="auto" w:val="clear"/>
          <w:lang w:val="uk-UA"/>
        </w:rPr>
      </w:r>
    </w:p>
    <w:p>
      <w:pPr>
        <w:pStyle w:val="NoSpacing"/>
        <w:jc w:val="center"/>
        <w:rPr>
          <w:rFonts w:eastAsia="" w:eastAsiaTheme="minorEastAsia"/>
          <w:b/>
          <w:sz w:val="24"/>
          <w:szCs w:val="24"/>
          <w:lang w:val="uk-UA" w:eastAsia="ko-KR"/>
        </w:rPr>
      </w:pPr>
      <w:r>
        <w:rPr>
          <w:rFonts w:eastAsia="" w:eastAsiaTheme="minorEastAsia"/>
          <w:b/>
          <w:sz w:val="24"/>
          <w:szCs w:val="24"/>
          <w:lang w:val="uk-UA" w:eastAsia="ko-KR"/>
        </w:rPr>
        <w:t>План заходів</w:t>
      </w:r>
    </w:p>
    <w:p>
      <w:pPr>
        <w:pStyle w:val="NoSpacing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популяризації електронних сервісів та покращення рівня якості обслуговування </w:t>
      </w:r>
    </w:p>
    <w:p>
      <w:pPr>
        <w:pStyle w:val="NoSpacing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 Головному управлінні Пенсійного фонду України у Київській області</w:t>
      </w:r>
    </w:p>
    <w:p>
      <w:pPr>
        <w:pStyle w:val="NoSpacing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у 2026–2028 роках</w:t>
      </w:r>
    </w:p>
    <w:p>
      <w:pPr>
        <w:pStyle w:val="NoSpacing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tbl>
      <w:tblPr>
        <w:tblStyle w:val="a4"/>
        <w:tblW w:w="15709" w:type="dxa"/>
        <w:jc w:val="left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8"/>
        <w:gridCol w:w="1921"/>
        <w:gridCol w:w="4044"/>
        <w:gridCol w:w="1971"/>
        <w:gridCol w:w="1998"/>
        <w:gridCol w:w="5256"/>
      </w:tblGrid>
      <w:tr>
        <w:trPr>
          <w:tblHeader w:val="true"/>
        </w:trPr>
        <w:tc>
          <w:tcPr>
            <w:tcW w:w="51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з/п</w:t>
            </w:r>
          </w:p>
        </w:tc>
        <w:tc>
          <w:tcPr>
            <w:tcW w:w="192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Найменування завдання</w:t>
            </w:r>
          </w:p>
        </w:tc>
        <w:tc>
          <w:tcPr>
            <w:tcW w:w="404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eastAsia="" w:cs="Times New Roman" w:eastAsiaTheme="minorEastAsia"/>
                <w:b/>
                <w:sz w:val="24"/>
                <w:szCs w:val="24"/>
                <w:lang w:val="uk-UA" w:eastAsia="ko-KR"/>
              </w:rPr>
            </w:pPr>
            <w:r>
              <w:rPr>
                <w:rFonts w:eastAsia="" w:cs="Times New Roman" w:eastAsiaTheme="minorEastAsia"/>
                <w:b/>
                <w:kern w:val="0"/>
                <w:sz w:val="24"/>
                <w:szCs w:val="24"/>
                <w:lang w:val="uk-UA" w:eastAsia="ko-KR" w:bidi="ar-SA"/>
              </w:rPr>
              <w:t>Заходи</w:t>
            </w:r>
          </w:p>
        </w:tc>
        <w:tc>
          <w:tcPr>
            <w:tcW w:w="1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Відповідальні виконавці</w:t>
            </w:r>
          </w:p>
        </w:tc>
        <w:tc>
          <w:tcPr>
            <w:tcW w:w="199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Термін виконання</w:t>
            </w:r>
          </w:p>
        </w:tc>
        <w:tc>
          <w:tcPr>
            <w:tcW w:w="525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Індикатор виконання</w:t>
            </w:r>
          </w:p>
        </w:tc>
      </w:tr>
      <w:tr>
        <w:trPr>
          <w:tblHeader w:val="true"/>
        </w:trPr>
        <w:tc>
          <w:tcPr>
            <w:tcW w:w="51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1</w:t>
            </w:r>
          </w:p>
        </w:tc>
        <w:tc>
          <w:tcPr>
            <w:tcW w:w="192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2</w:t>
            </w:r>
          </w:p>
        </w:tc>
        <w:tc>
          <w:tcPr>
            <w:tcW w:w="404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3</w:t>
            </w:r>
          </w:p>
        </w:tc>
        <w:tc>
          <w:tcPr>
            <w:tcW w:w="1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4</w:t>
            </w:r>
          </w:p>
        </w:tc>
        <w:tc>
          <w:tcPr>
            <w:tcW w:w="199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5</w:t>
            </w:r>
          </w:p>
        </w:tc>
        <w:tc>
          <w:tcPr>
            <w:tcW w:w="525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6</w:t>
            </w:r>
          </w:p>
        </w:tc>
      </w:tr>
      <w:tr>
        <w:trPr/>
        <w:tc>
          <w:tcPr>
            <w:tcW w:w="518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1</w:t>
            </w:r>
          </w:p>
        </w:tc>
        <w:tc>
          <w:tcPr>
            <w:tcW w:w="1921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Прозоре та відповідальне надання послуг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89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1. Здійснення моніторингу роботи сервісних центрів Головного управління Пенсійного фонду України у Київській області (далі – Головне управління):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89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шляхом виїздів у сервісні центри;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89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щодо організації роботи сервісних центрів з управління чергою (можливість попереднього запису на прийом через вебпортал, функціонування систем електронного керування чергою, управління живою чергою в сервісних центрах).</w:t>
            </w:r>
          </w:p>
        </w:tc>
        <w:tc>
          <w:tcPr>
            <w:tcW w:w="1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Управління обслуговування громадян;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Начальник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Головного управління</w:t>
            </w:r>
          </w:p>
        </w:tc>
        <w:tc>
          <w:tcPr>
            <w:tcW w:w="199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Постійно,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щопівроку</w:t>
            </w:r>
          </w:p>
        </w:tc>
        <w:tc>
          <w:tcPr>
            <w:tcW w:w="52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 xml:space="preserve">1.1.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Здійснено моніторинг роботи сервісних центрів Головного управління: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шляхом виїздів у сервісні центри: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  <w:lang w:val="uk-UA"/>
              </w:rPr>
              <w:t>відділом методології та організації роботи з обслуговування громадян: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uk-UA" w:eastAsia="en-US" w:bidi="ar-SA"/>
              </w:rPr>
              <w:t>- 13.03.2026 контрольний захід у с- щі Володарка (наказ 1815 від 13.03.2026);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uk-UA" w:eastAsia="en-US" w:bidi="ar-SA"/>
              </w:rPr>
              <w:t>- 15.05.2026 контрольний захід у м. Переяслав (наказ 3712 від 19.05.2026);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uk-UA" w:eastAsia="en-US" w:bidi="ar-SA"/>
              </w:rPr>
              <w:t>- 26.06.2026 контрольний захід у м. Богуслав (наказ 4979 від 26.06.2026);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uk-UA" w:eastAsia="en-US" w:bidi="ar-SA"/>
              </w:rPr>
              <w:t>- виїзди до всіх сервісних центрів протягом  березня 2026 р. з метою перевірки інформаційного наповнення сервісних центрів.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uk-UA" w:eastAsia="en-US" w:bidi="ar-SA"/>
              </w:rPr>
              <w:t>начальником управління обслуговування громадян здійснюються щотижневі виїзди до сервісних центрів на постійній основі.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2. щодо організації роботи сервісних центрів з управління чергою (можливість попереднього запису на прийом через вебпортал, функціонування систем електронного керування чергою, управління живою чергою в сервісних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центрах).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В управлінні запроваджено щоденний моніторинг черг та протермінованих талонів, у разі протермінування надаються пояснення до Моніторингового центру Пенсійного фонду України. У керівництва Головного управління, а також керівництва управління обслуговування громадян, є доступ до камер відеоспостереження, що дозволяє додатково контролювати ситуацію в сервісних центрах. Також доступ до камер у територіальному сервісному центрі є у керівника сервісного центру або відповідальної особи. У кожному сервісному центрі наявна відповідальна особа за керування потоками відвідувачів, за необхідності, залучаються працівники інших структурних підрозділів у якості модераторів. Також щотижнево проводиться моніторинг кількості записів відвідувачів через портал.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uk-UA" w:eastAsia="en-US" w:bidi="ar-SA"/>
              </w:rPr>
              <w:t xml:space="preserve">1.2.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Підготовлено інформацію з пропозиціями (за необхідності), яку подано на розгляд  начальнику Головного управління для вжиття заходів реагування (за необхідності).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У разі потреби може коригуватися кількість одночасних записів через вебпортал, а також час запису через вебпортал. Також в сервісних центрах розміщені оголошення, щодо можливості запису на прийом через ресурси веб- порталу Пенсійного фонду України.</w:t>
            </w:r>
          </w:p>
        </w:tc>
      </w:tr>
      <w:tr>
        <w:trPr/>
        <w:tc>
          <w:tcPr>
            <w:tcW w:w="518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1921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404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firstLine="389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2. Проведення моніторингу роботи віддалених робочих місць Головного управління.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89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89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1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Управління обслуговування громадян;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Начальник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Головного управління</w:t>
            </w:r>
          </w:p>
        </w:tc>
        <w:tc>
          <w:tcPr>
            <w:tcW w:w="199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Постійно,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щопівроку</w:t>
            </w:r>
          </w:p>
        </w:tc>
        <w:tc>
          <w:tcPr>
            <w:tcW w:w="525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2.1. Проведено моніторинг роботи віддалених робочих місць Головного управління.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Службові записки з щомісячним моніторингом послуг ВРМ: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- за січень 3395/02-16 від 19.02.2026;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- за лютий 6158/02-16 від 31.03.2026;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- за березень 8189/02-16 від 01.05.2026;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- за квітень 8672/02-16 від 11.05.2026;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- за травень 10591/02-16 від 08.06.2026.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2.2. Підготовлено інформацію з пропозиціями (за необхідності), яку подано на розгляд начальнику Головного управління для вжиття заходів реагування (за необхідності).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 xml:space="preserve">З метою покращення якості обслуговування на ВРМ у травні 2026 було відкрито постійнодіючий ВРМ за адресою: м. Ірпінь, вул. Котляревського, 54, та закрито недоцільний ВРМ за адресою: Броварський район,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uk-UA" w:eastAsia="en-US" w:bidi="ar-SA"/>
              </w:rPr>
              <w:t xml:space="preserve">с-ще Калинівка, вул. Травнева,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uk-UA" w:eastAsia="en-US" w:bidi="ar-SA"/>
              </w:rPr>
              <w:t xml:space="preserve">буд.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uk-UA" w:eastAsia="en-US" w:bidi="ar-SA"/>
              </w:rPr>
              <w:t>10.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uk-UA" w:eastAsia="en-US" w:bidi="ar-SA"/>
              </w:rPr>
              <w:t>Також змінено графік у ВРМ с. Гатне (прийом здійснюється 4 рази в місяць замість 1), м. Ржищів (замість 3 разів на тиждень ВРМ стало постійнодіючим).</w:t>
            </w:r>
          </w:p>
        </w:tc>
      </w:tr>
      <w:tr>
        <w:trPr/>
        <w:tc>
          <w:tcPr>
            <w:tcW w:w="518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1921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404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firstLine="389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highlight w:val="white"/>
                <w:lang w:val="uk-UA" w:eastAsia="en-US" w:bidi="ar-SA"/>
              </w:rPr>
              <w:t>3. Проведення оцінки сервісних центрів Головного управління на відповідність стандартам обслуговування громадян за визначеними критеріями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.</w:t>
            </w:r>
          </w:p>
        </w:tc>
        <w:tc>
          <w:tcPr>
            <w:tcW w:w="1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Управління обслуговування громадян;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Начальник Головного управління</w:t>
            </w:r>
          </w:p>
        </w:tc>
        <w:tc>
          <w:tcPr>
            <w:tcW w:w="199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Постійно,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щопівроку</w:t>
            </w:r>
          </w:p>
        </w:tc>
        <w:tc>
          <w:tcPr>
            <w:tcW w:w="525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 xml:space="preserve">3.1. </w:t>
            </w:r>
            <w:r>
              <w:rPr>
                <w:rFonts w:eastAsia="Times New Roman" w:cs="Times New Roman"/>
                <w:kern w:val="0"/>
                <w:sz w:val="24"/>
                <w:szCs w:val="24"/>
                <w:highlight w:val="white"/>
                <w:lang w:val="uk-UA" w:eastAsia="en-US" w:bidi="ar-SA"/>
              </w:rPr>
              <w:t>Проведено оцінку сервісних центрів Головного управління на відповідність стандартам обслуговування громадян за визначеними критеріями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uk-UA" w:eastAsia="en-US" w:bidi="ar-SA"/>
              </w:rPr>
              <w:t>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uk-UA" w:eastAsia="en-US" w:bidi="ar-SA"/>
              </w:rPr>
              <w:t>Щоквартально проводиться оцінка кожного з сервісних центрів за критеріями відповідності Стандартам за допомогою гугл-таблиці наданої Пенсійним фондом України.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3.2. Підготовлено інформацію з пропозиціями (за необхідності), яку подано на розгляд начальнику Головного управління для вжиття заходів реагування (за необхідності).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 xml:space="preserve">Протягом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en-US" w:bidi="ar-SA"/>
              </w:rPr>
              <w:t xml:space="preserve">I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півріччя 2026 року здійснено наближення сервісних центрів до Стандартів: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- відкрито сервісний центр у с-щі Бородянка у власному приміщенні;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sz w:val="24"/>
                <w:szCs w:val="24"/>
              </w:rPr>
            </w:pPr>
            <w:r>
              <w:rPr>
                <w:rFonts w:eastAsia="NSimSun" w:cs="Times New Roman"/>
                <w:i w:val="false"/>
                <w:iCs w:val="false"/>
                <w:color w:val="111111"/>
                <w:kern w:val="2"/>
                <w:sz w:val="24"/>
                <w:szCs w:val="24"/>
                <w:shd w:fill="auto" w:val="clear"/>
                <w:lang w:val="uk-UA" w:eastAsia="zh-CN" w:bidi="hi-IN"/>
              </w:rPr>
              <w:t>- на випадок сигналу „Повітряна тривога“, прийом громадян здійснюється в укритті у підвальному приміщенні сервісних центрів у с- щі Бородянка та с-щі Макарів.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- переміщено сервісний центр у с-щі Згурівка на перший поверх (приміщення ЦНАП);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- переміщено сервісний центр у м. Богуслав на перший поверх;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- також були завершені ремонтні роботи в сервісному центрі м. Яготин.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en-US" w:bidi="ar-SA"/>
              </w:rPr>
              <w:t>- службова записка у потребі з дооблаштування сервісних центрів 7708/02-16 від 24.04.2026.</w:t>
            </w:r>
          </w:p>
        </w:tc>
      </w:tr>
      <w:tr>
        <w:trPr/>
        <w:tc>
          <w:tcPr>
            <w:tcW w:w="51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2</w:t>
            </w:r>
          </w:p>
        </w:tc>
        <w:tc>
          <w:tcPr>
            <w:tcW w:w="192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Популяризація електронних сервісів</w:t>
            </w:r>
          </w:p>
        </w:tc>
        <w:tc>
          <w:tcPr>
            <w:tcW w:w="404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firstLine="389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1. Поширення Головним управлінням інформаційних повідомлень про послуги, які надаються в електронній формі, про можливості та переваги використання вебпорталу Пенсійного фонду.</w:t>
            </w:r>
          </w:p>
        </w:tc>
        <w:tc>
          <w:tcPr>
            <w:tcW w:w="1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Начальник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Головного управління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199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Постійно,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щопівроку</w:t>
            </w:r>
          </w:p>
        </w:tc>
        <w:tc>
          <w:tcPr>
            <w:tcW w:w="525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uk-UA" w:eastAsia="ru-RU" w:bidi="ar-SA"/>
              </w:rPr>
              <w:t>1.1. Забезпечено поширення Головним управлінням інформаційних повідомлень про послуги, які надаються в електронній формі.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firstLine="32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uk-UA" w:eastAsia="ru-RU" w:bidi="ar-SA"/>
              </w:rPr>
              <w:t>Кожен сервісний центр забезпечений місцем для доступу до веб-порталу, поряд з цим місцем містяться інструкції для користування послугами, які можна отримати через особистий кабінет на вебпорталі Пенсійним фондом України. Проводиться активна інформаційно- роз’яснювальна робота безпосередньо у сервісних центрах, а також на веб-ресурсах.</w:t>
            </w:r>
          </w:p>
        </w:tc>
      </w:tr>
    </w:tbl>
    <w:p>
      <w:pPr>
        <w:pStyle w:val="NoSpacing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_________________________________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701" w:right="678" w:gutter="0" w:header="709" w:top="1134" w:footer="0" w:bottom="28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74131953"/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lang w:val="uk-UA"/>
          </w:rPr>
          <w:t xml:space="preserve">                                                                                               </w:t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4</w:t>
        </w:r>
        <w:r>
          <w:rPr>
            <w:sz w:val="24"/>
            <w:szCs w:val="24"/>
          </w:rPr>
          <w:fldChar w:fldCharType="end"/>
        </w:r>
        <w:r>
          <w:rPr>
            <w:sz w:val="24"/>
            <w:szCs w:val="24"/>
            <w:lang w:val="uk-UA"/>
          </w:rPr>
          <w:t xml:space="preserve">                                                                                   </w:t>
        </w:r>
        <w:r>
          <w:rPr>
            <w:sz w:val="24"/>
            <w:szCs w:val="24"/>
            <w:lang w:val="uk-UA"/>
          </w:rPr>
          <w:t>Продовження додатка 7</w:t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ko-KR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Calibri" w:cstheme="minorHAns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Calibri" w:cs="Calibri" w:cstheme="minorHAns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ій колонтитул Знак"/>
    <w:basedOn w:val="DefaultParagraphFont"/>
    <w:uiPriority w:val="99"/>
    <w:qFormat/>
    <w:rsid w:val="005f375a"/>
    <w:rPr/>
  </w:style>
  <w:style w:type="character" w:styleId="Style15" w:customStyle="1">
    <w:name w:val="Нижній колонтитул Знак"/>
    <w:basedOn w:val="DefaultParagraphFont"/>
    <w:uiPriority w:val="99"/>
    <w:qFormat/>
    <w:rsid w:val="005f375a"/>
    <w:rPr/>
  </w:style>
  <w:style w:type="character" w:styleId="Style16" w:customStyle="1">
    <w:name w:val="Текст у виносці Знак"/>
    <w:basedOn w:val="DefaultParagraphFont"/>
    <w:link w:val="BalloonText"/>
    <w:uiPriority w:val="99"/>
    <w:semiHidden/>
    <w:qFormat/>
    <w:rsid w:val="005517a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07cb5"/>
    <w:rPr>
      <w:b/>
      <w:bCs/>
    </w:rPr>
  </w:style>
  <w:style w:type="character" w:styleId="Style17">
    <w:name w:val="Маркери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b5140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Calibri" w:cstheme="minorHAnsi" w:eastAsiaTheme="minorHAnsi"/>
      <w:color w:val="auto"/>
      <w:kern w:val="0"/>
      <w:sz w:val="28"/>
      <w:szCs w:val="22"/>
      <w:lang w:val="ru-RU" w:eastAsia="en-US" w:bidi="ar-SA"/>
    </w:rPr>
  </w:style>
  <w:style w:type="paragraph" w:styleId="Style20">
    <w:name w:val="Верхній і нижній колонтитули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5f375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5f375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5517a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s2a4a7cb2" w:customStyle="1">
    <w:name w:val="cs2a4a7cb2"/>
    <w:basedOn w:val="Normal"/>
    <w:qFormat/>
    <w:rsid w:val="006957ab"/>
    <w:pPr>
      <w:spacing w:lineRule="auto" w:line="240" w:beforeAutospacing="1" w:afterAutospacing="1"/>
    </w:pPr>
    <w:rPr>
      <w:rFonts w:eastAsia="Times New Roman" w:cs="Times New Roman"/>
      <w:sz w:val="24"/>
      <w:szCs w:val="24"/>
      <w:lang w:val="uk-UA" w:eastAsia="uk-UA"/>
    </w:rPr>
  </w:style>
  <w:style w:type="paragraph" w:styleId="Revision">
    <w:name w:val="Revision"/>
    <w:uiPriority w:val="99"/>
    <w:semiHidden/>
    <w:qFormat/>
    <w:rsid w:val="00dd6d3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Calibri" w:cstheme="minorHAnsi" w:eastAsiaTheme="minorHAnsi"/>
      <w:color w:val="auto"/>
      <w:kern w:val="0"/>
      <w:sz w:val="28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d07cb5"/>
    <w:pPr>
      <w:spacing w:lineRule="auto" w:line="240" w:beforeAutospacing="1" w:afterAutospacing="1"/>
    </w:pPr>
    <w:rPr>
      <w:rFonts w:eastAsia="Times New Roman" w:cs="Times New Roman"/>
      <w:sz w:val="24"/>
      <w:szCs w:val="24"/>
      <w:lang w:val="uk-UA" w:eastAsia="ko-KR"/>
    </w:rPr>
  </w:style>
  <w:style w:type="paragraph" w:styleId="3690" w:customStyle="1">
    <w:name w:val="3690"/>
    <w:basedOn w:val="Normal"/>
    <w:qFormat/>
    <w:rsid w:val="00fe291d"/>
    <w:pPr>
      <w:spacing w:lineRule="auto" w:line="240"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3400" w:customStyle="1">
    <w:name w:val="3400"/>
    <w:basedOn w:val="Normal"/>
    <w:qFormat/>
    <w:rsid w:val="00743aea"/>
    <w:pPr>
      <w:spacing w:lineRule="auto" w:line="240"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6171" w:customStyle="1">
    <w:name w:val="6171"/>
    <w:basedOn w:val="Normal"/>
    <w:qFormat/>
    <w:rsid w:val="00117a54"/>
    <w:pPr>
      <w:spacing w:lineRule="auto" w:line="240" w:beforeAutospacing="1" w:afterAutospacing="1"/>
    </w:pPr>
    <w:rPr>
      <w:rFonts w:eastAsia="Times New Roman" w:cs="Times New Roman"/>
      <w:sz w:val="24"/>
      <w:szCs w:val="24"/>
      <w:lang w:eastAsia="ru-RU"/>
    </w:rPr>
  </w:style>
  <w:style w:type="numbering" w:styleId="Style21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617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Application>LibreOffice/24.2.5.2$Windows_X86_64 LibreOffice_project/bffef4ea93e59bebbeaf7f431bb02b1a39ee8a59</Application>
  <AppVersion>15.0000</AppVersion>
  <Pages>4</Pages>
  <Words>759</Words>
  <Characters>5246</Characters>
  <CharactersWithSpaces>6104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2026-04-30T11:26:00Z</dcterms:created>
  <dc:creator>Potarzhevska Olesia</dc:creator>
  <dc:description/>
  <dc:language>uk-UA</dc:language>
  <cp:lastModifiedBy/>
  <cp:lastPrinted>2026-04-07T09:20:00Z</cp:lastPrinted>
  <dcterms:modified xsi:type="dcterms:W3CDTF">2026-07-08T16:52:59Z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