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</w:t>
      </w:r>
      <w:r w:rsidR="00F1669B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CE328C">
        <w:rPr>
          <w:sz w:val="24"/>
          <w:szCs w:val="24"/>
        </w:rPr>
        <w:t>дділ обслуговування громадян № 2</w:t>
      </w:r>
      <w:r w:rsidRPr="00687780">
        <w:rPr>
          <w:sz w:val="24"/>
          <w:szCs w:val="24"/>
        </w:rPr>
        <w:t xml:space="preserve"> (сервісний центр)</w:t>
      </w:r>
      <w:r w:rsidR="0030200F" w:rsidRPr="0030200F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CE328C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20100, селище</w:t>
            </w:r>
            <w:r w:rsidRPr="00AD175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AD1755">
              <w:rPr>
                <w:i/>
                <w:sz w:val="26"/>
                <w:szCs w:val="26"/>
              </w:rPr>
              <w:t>Маньківка</w:t>
            </w:r>
            <w:proofErr w:type="spellEnd"/>
            <w:r w:rsidRPr="00AD1755">
              <w:rPr>
                <w:i/>
                <w:sz w:val="26"/>
                <w:szCs w:val="26"/>
              </w:rPr>
              <w:t>, вул. Соборна, 13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CE328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CE328C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664D74" w:rsidRDefault="00664D74" w:rsidP="00664D74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(04748) 6 24 01 </w:t>
            </w:r>
          </w:p>
          <w:p w:rsidR="00664D74" w:rsidRDefault="0030200F" w:rsidP="00664D74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664D74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664D74" w:rsidRDefault="00664D74" w:rsidP="00664D7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30200F" w:rsidP="00664D74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664D74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ED2" w:rsidRDefault="00AB7ED2" w:rsidP="006376E3">
      <w:r>
        <w:separator/>
      </w:r>
    </w:p>
  </w:endnote>
  <w:endnote w:type="continuationSeparator" w:id="0">
    <w:p w:rsidR="00AB7ED2" w:rsidRDefault="00AB7ED2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ED2" w:rsidRDefault="00AB7ED2" w:rsidP="006376E3">
      <w:r>
        <w:separator/>
      </w:r>
    </w:p>
  </w:footnote>
  <w:footnote w:type="continuationSeparator" w:id="0">
    <w:p w:rsidR="00AB7ED2" w:rsidRDefault="00AB7ED2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30200F">
        <w:pPr>
          <w:pStyle w:val="a6"/>
          <w:jc w:val="center"/>
        </w:pPr>
        <w:fldSimple w:instr=" PAGE   \* MERGEFORMAT ">
          <w:r w:rsidR="00F1669B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104D97"/>
    <w:rsid w:val="001250F4"/>
    <w:rsid w:val="001455CE"/>
    <w:rsid w:val="0015694D"/>
    <w:rsid w:val="001806EA"/>
    <w:rsid w:val="001F421E"/>
    <w:rsid w:val="00283555"/>
    <w:rsid w:val="002F3F2C"/>
    <w:rsid w:val="002F5F2F"/>
    <w:rsid w:val="0030200F"/>
    <w:rsid w:val="00317CB1"/>
    <w:rsid w:val="003247C1"/>
    <w:rsid w:val="003F2099"/>
    <w:rsid w:val="00411B13"/>
    <w:rsid w:val="00521ACC"/>
    <w:rsid w:val="0053050F"/>
    <w:rsid w:val="005E78D1"/>
    <w:rsid w:val="005F7A7E"/>
    <w:rsid w:val="006376E3"/>
    <w:rsid w:val="00664D74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833726"/>
    <w:rsid w:val="00893108"/>
    <w:rsid w:val="008B7F9E"/>
    <w:rsid w:val="008F2C75"/>
    <w:rsid w:val="00900D11"/>
    <w:rsid w:val="009D3C71"/>
    <w:rsid w:val="00A26CC0"/>
    <w:rsid w:val="00A311B2"/>
    <w:rsid w:val="00A43FEF"/>
    <w:rsid w:val="00AB7ED2"/>
    <w:rsid w:val="00B019F5"/>
    <w:rsid w:val="00B400B7"/>
    <w:rsid w:val="00B95468"/>
    <w:rsid w:val="00B975EE"/>
    <w:rsid w:val="00CE328C"/>
    <w:rsid w:val="00CF2A19"/>
    <w:rsid w:val="00D24BB5"/>
    <w:rsid w:val="00D507AC"/>
    <w:rsid w:val="00D9283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1669B"/>
    <w:rsid w:val="00F46694"/>
    <w:rsid w:val="00F53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4866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5</cp:revision>
  <dcterms:created xsi:type="dcterms:W3CDTF">2024-05-24T06:58:00Z</dcterms:created>
  <dcterms:modified xsi:type="dcterms:W3CDTF">2024-05-29T12:17:00Z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