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7479BC" w:rsidRDefault="007D663E" w:rsidP="00A61D47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 w:rsidR="00843360">
        <w:t xml:space="preserve"> SARS-C</w:t>
      </w:r>
      <w:r w:rsidR="00843360">
        <w:rPr>
          <w:lang w:val="en-US"/>
        </w:rPr>
        <w:t>o</w:t>
      </w:r>
      <w:r>
        <w:t>V-2, під час виконання професійних обов’язків в умовах підвищеного ризику зараження</w:t>
      </w:r>
    </w:p>
    <w:p w:rsidR="00E115AE" w:rsidRPr="00A61D47" w:rsidRDefault="00E115AE" w:rsidP="00A61D47">
      <w:pPr>
        <w:pStyle w:val="a3"/>
        <w:ind w:left="170" w:right="156" w:hanging="1"/>
        <w:jc w:val="both"/>
      </w:pPr>
    </w:p>
    <w:p w:rsidR="00A61D47" w:rsidRPr="00BD669C" w:rsidRDefault="000005C3" w:rsidP="00A61D47">
      <w:pPr>
        <w:tabs>
          <w:tab w:val="left" w:pos="3787"/>
        </w:tabs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uk-UA"/>
        </w:rPr>
        <w:pict>
          <v:shape id="_x0000_s1027" style="position:absolute;left:0;text-align:left;margin-left:114.05pt;margin-top:16.2pt;width:413.1pt;height:3.55pt;flip:y;z-index:-251658752;mso-wrap-distance-left:0;mso-wrap-distance-right:0;mso-position-horizontal-relative:page" coordorigin="1771,317" coordsize="9380,0" path="m1771,317r9380,e" filled="f" strokeweight=".25pt">
            <v:path arrowok="t"/>
            <w10:wrap type="topAndBottom" anchorx="page"/>
          </v:shape>
        </w:pict>
      </w:r>
      <w:r w:rsidR="00A61D47" w:rsidRPr="00BD669C">
        <w:rPr>
          <w:sz w:val="26"/>
          <w:szCs w:val="26"/>
        </w:rPr>
        <w:t xml:space="preserve">Відповідно до Додатка 1 </w:t>
      </w:r>
    </w:p>
    <w:p w:rsidR="006376E3" w:rsidRDefault="00A61D47" w:rsidP="00404B84">
      <w:pPr>
        <w:spacing w:before="1"/>
        <w:ind w:left="403" w:right="469"/>
        <w:jc w:val="center"/>
        <w:rPr>
          <w:sz w:val="24"/>
        </w:rPr>
      </w:pPr>
      <w:r w:rsidRPr="003633B1">
        <w:rPr>
          <w:sz w:val="24"/>
          <w:szCs w:val="24"/>
        </w:rPr>
        <w:t>(найменування</w:t>
      </w:r>
      <w:r w:rsidRPr="003633B1">
        <w:rPr>
          <w:spacing w:val="-11"/>
          <w:sz w:val="24"/>
          <w:szCs w:val="24"/>
        </w:rPr>
        <w:t xml:space="preserve"> </w:t>
      </w:r>
      <w:r w:rsidRPr="003633B1">
        <w:rPr>
          <w:sz w:val="24"/>
          <w:szCs w:val="24"/>
        </w:rPr>
        <w:t>суб’єкта</w:t>
      </w:r>
      <w:r w:rsidRPr="003633B1">
        <w:rPr>
          <w:spacing w:val="-8"/>
          <w:sz w:val="24"/>
          <w:szCs w:val="24"/>
        </w:rPr>
        <w:t xml:space="preserve"> </w:t>
      </w:r>
      <w:r w:rsidRPr="003633B1">
        <w:rPr>
          <w:sz w:val="24"/>
          <w:szCs w:val="24"/>
        </w:rPr>
        <w:t>надання</w:t>
      </w:r>
      <w:r w:rsidRPr="003633B1"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 xml:space="preserve">адміністративної </w:t>
      </w:r>
      <w:r w:rsidRPr="003633B1">
        <w:rPr>
          <w:sz w:val="24"/>
          <w:szCs w:val="24"/>
        </w:rPr>
        <w:t>послуги</w:t>
      </w:r>
      <w:r w:rsidRPr="00D333A9">
        <w:rPr>
          <w:sz w:val="24"/>
          <w:szCs w:val="24"/>
        </w:rPr>
        <w:t xml:space="preserve"> </w:t>
      </w:r>
      <w:r w:rsidRPr="003633B1">
        <w:rPr>
          <w:sz w:val="24"/>
          <w:szCs w:val="24"/>
        </w:rPr>
        <w:t>та</w:t>
      </w:r>
      <w:r>
        <w:rPr>
          <w:sz w:val="24"/>
          <w:szCs w:val="24"/>
        </w:rPr>
        <w:t>/або</w:t>
      </w:r>
      <w:r w:rsidRPr="003633B1">
        <w:rPr>
          <w:sz w:val="24"/>
          <w:szCs w:val="24"/>
        </w:rPr>
        <w:t xml:space="preserve"> центру надання адміністративних послуг</w:t>
      </w:r>
      <w:r>
        <w:rPr>
          <w:sz w:val="24"/>
          <w:szCs w:val="24"/>
        </w:rPr>
        <w:t>, виконавчого органу сільської, селищної, міської ради відповідної територіальної громади або військової адміністрації</w:t>
      </w:r>
      <w:r w:rsidRPr="003633B1">
        <w:rPr>
          <w:sz w:val="24"/>
          <w:szCs w:val="24"/>
        </w:rPr>
        <w:t>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220"/>
        <w:gridCol w:w="71"/>
        <w:gridCol w:w="6187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404B84">
        <w:trPr>
          <w:trHeight w:val="988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291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258" w:type="dxa"/>
            <w:gridSpan w:val="2"/>
          </w:tcPr>
          <w:p w:rsidR="006376E3" w:rsidRPr="006E7468" w:rsidRDefault="00A61D47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BD669C">
              <w:rPr>
                <w:sz w:val="26"/>
                <w:szCs w:val="26"/>
              </w:rPr>
              <w:t>Відповідно до Додатка 2</w:t>
            </w:r>
          </w:p>
        </w:tc>
      </w:tr>
      <w:tr w:rsidR="006376E3" w:rsidTr="00404B84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291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258" w:type="dxa"/>
            <w:gridSpan w:val="2"/>
          </w:tcPr>
          <w:p w:rsidR="006376E3" w:rsidRDefault="00A61D47" w:rsidP="006E7468">
            <w:pPr>
              <w:pStyle w:val="TableParagraph"/>
              <w:ind w:firstLine="510"/>
              <w:rPr>
                <w:sz w:val="26"/>
              </w:rPr>
            </w:pPr>
            <w:r w:rsidRPr="00BD669C">
              <w:rPr>
                <w:sz w:val="26"/>
                <w:szCs w:val="26"/>
              </w:rPr>
              <w:t>Відповідно до Додатка 3</w:t>
            </w:r>
          </w:p>
        </w:tc>
      </w:tr>
      <w:tr w:rsidR="006376E3" w:rsidTr="009220EC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291" w:type="dxa"/>
            <w:gridSpan w:val="2"/>
          </w:tcPr>
          <w:p w:rsidR="00404B84" w:rsidRPr="00404B84" w:rsidRDefault="001455CE" w:rsidP="009220EC">
            <w:pPr>
              <w:pStyle w:val="TableParagraph"/>
              <w:jc w:val="left"/>
              <w:rPr>
                <w:sz w:val="26"/>
                <w:szCs w:val="26"/>
              </w:rPr>
            </w:pPr>
            <w:r w:rsidRPr="00404B84">
              <w:rPr>
                <w:sz w:val="26"/>
                <w:szCs w:val="26"/>
              </w:rPr>
              <w:t>Телефон,</w:t>
            </w:r>
          </w:p>
          <w:p w:rsidR="00404B84" w:rsidRPr="00404B84" w:rsidRDefault="00404B84" w:rsidP="009220EC">
            <w:pPr>
              <w:pStyle w:val="TableParagraph"/>
              <w:jc w:val="left"/>
              <w:rPr>
                <w:sz w:val="26"/>
                <w:szCs w:val="26"/>
              </w:rPr>
            </w:pPr>
            <w:r w:rsidRPr="00404B84">
              <w:rPr>
                <w:sz w:val="26"/>
                <w:szCs w:val="26"/>
              </w:rPr>
              <w:t>а</w:t>
            </w:r>
            <w:r w:rsidR="001455CE" w:rsidRPr="00404B84">
              <w:rPr>
                <w:sz w:val="26"/>
                <w:szCs w:val="26"/>
              </w:rPr>
              <w:t>дреса</w:t>
            </w:r>
            <w:r w:rsidRPr="00404B84">
              <w:rPr>
                <w:sz w:val="26"/>
                <w:szCs w:val="26"/>
              </w:rPr>
              <w:t xml:space="preserve"> Е</w:t>
            </w:r>
            <w:r w:rsidR="001455CE" w:rsidRPr="00404B84">
              <w:rPr>
                <w:sz w:val="26"/>
                <w:szCs w:val="26"/>
              </w:rPr>
              <w:t>лектронної</w:t>
            </w:r>
            <w:r w:rsidRPr="00404B8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Pr="00404B84">
              <w:rPr>
                <w:sz w:val="26"/>
                <w:szCs w:val="26"/>
              </w:rPr>
              <w:t>ошти,</w:t>
            </w:r>
          </w:p>
          <w:p w:rsidR="006376E3" w:rsidRDefault="001455CE" w:rsidP="009220EC">
            <w:pPr>
              <w:pStyle w:val="TableParagraph"/>
              <w:jc w:val="left"/>
            </w:pPr>
            <w:proofErr w:type="spellStart"/>
            <w:r w:rsidRPr="00404B84">
              <w:rPr>
                <w:sz w:val="26"/>
                <w:szCs w:val="26"/>
              </w:rPr>
              <w:t>вебсайт</w:t>
            </w:r>
            <w:proofErr w:type="spellEnd"/>
          </w:p>
        </w:tc>
        <w:tc>
          <w:tcPr>
            <w:tcW w:w="6258" w:type="dxa"/>
            <w:gridSpan w:val="2"/>
          </w:tcPr>
          <w:p w:rsidR="006376E3" w:rsidRDefault="00A61D47">
            <w:pPr>
              <w:pStyle w:val="TableParagraph"/>
              <w:ind w:firstLine="510"/>
              <w:rPr>
                <w:sz w:val="26"/>
              </w:rPr>
            </w:pPr>
            <w:r w:rsidRPr="00BD669C">
              <w:rPr>
                <w:sz w:val="26"/>
                <w:szCs w:val="26"/>
              </w:rPr>
              <w:t>Відповідно до Додатка 4</w:t>
            </w: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404B84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91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187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404B84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91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187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404B84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91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187" w:type="dxa"/>
          </w:tcPr>
          <w:p w:rsidR="00E24D60" w:rsidRDefault="001806EA" w:rsidP="007501DF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7501DF" w:rsidRPr="007501DF">
              <w:rPr>
                <w:spacing w:val="-5"/>
                <w:sz w:val="26"/>
              </w:rPr>
              <w:t xml:space="preserve"> </w:t>
            </w:r>
            <w:r w:rsidR="00E24D60">
              <w:rPr>
                <w:sz w:val="26"/>
              </w:rPr>
              <w:t>органів Пенсійного фонду України», зареєстрована в Міністерстві</w:t>
            </w:r>
            <w:r w:rsidR="00E24D60">
              <w:rPr>
                <w:spacing w:val="29"/>
                <w:sz w:val="26"/>
              </w:rPr>
              <w:t xml:space="preserve"> </w:t>
            </w:r>
            <w:r w:rsidR="00E24D60">
              <w:rPr>
                <w:sz w:val="26"/>
              </w:rPr>
              <w:t>юстиції</w:t>
            </w:r>
            <w:r w:rsidR="00E24D60">
              <w:rPr>
                <w:spacing w:val="31"/>
                <w:sz w:val="26"/>
              </w:rPr>
              <w:t xml:space="preserve"> </w:t>
            </w:r>
            <w:r w:rsidR="00E24D60">
              <w:rPr>
                <w:sz w:val="26"/>
              </w:rPr>
              <w:t>України</w:t>
            </w:r>
            <w:r w:rsidR="00E24D60">
              <w:rPr>
                <w:spacing w:val="32"/>
                <w:sz w:val="26"/>
              </w:rPr>
              <w:t xml:space="preserve"> </w:t>
            </w:r>
            <w:r w:rsidR="00E24D60">
              <w:rPr>
                <w:sz w:val="26"/>
              </w:rPr>
              <w:t>18</w:t>
            </w:r>
            <w:r w:rsidR="00E24D60">
              <w:rPr>
                <w:spacing w:val="32"/>
                <w:sz w:val="26"/>
              </w:rPr>
              <w:t xml:space="preserve"> </w:t>
            </w:r>
            <w:r w:rsidR="00E24D60">
              <w:rPr>
                <w:sz w:val="26"/>
              </w:rPr>
              <w:t>серпня</w:t>
            </w:r>
            <w:r w:rsidR="00E24D60">
              <w:rPr>
                <w:spacing w:val="33"/>
                <w:sz w:val="26"/>
              </w:rPr>
              <w:t xml:space="preserve"> </w:t>
            </w:r>
            <w:r w:rsidR="00E24D60">
              <w:rPr>
                <w:sz w:val="26"/>
              </w:rPr>
              <w:t>2015</w:t>
            </w:r>
            <w:r w:rsidR="00E24D60">
              <w:rPr>
                <w:spacing w:val="32"/>
                <w:sz w:val="26"/>
              </w:rPr>
              <w:t xml:space="preserve"> </w:t>
            </w:r>
            <w:r w:rsidR="00E24D60">
              <w:rPr>
                <w:sz w:val="26"/>
              </w:rPr>
              <w:t>року</w:t>
            </w:r>
            <w:r w:rsidR="00E24D60">
              <w:rPr>
                <w:spacing w:val="33"/>
                <w:sz w:val="26"/>
              </w:rPr>
              <w:t xml:space="preserve"> </w:t>
            </w:r>
            <w:r w:rsidR="00E24D60">
              <w:rPr>
                <w:spacing w:val="-5"/>
                <w:sz w:val="26"/>
              </w:rPr>
              <w:t>за</w:t>
            </w:r>
            <w:r w:rsidR="007501DF" w:rsidRPr="007501DF">
              <w:rPr>
                <w:spacing w:val="-5"/>
                <w:sz w:val="26"/>
              </w:rPr>
              <w:t xml:space="preserve"> </w:t>
            </w:r>
            <w:r w:rsidR="00E24D60">
              <w:rPr>
                <w:sz w:val="26"/>
              </w:rPr>
              <w:t>№</w:t>
            </w:r>
            <w:r w:rsidR="00E24D60">
              <w:rPr>
                <w:spacing w:val="-1"/>
                <w:sz w:val="26"/>
              </w:rPr>
              <w:t xml:space="preserve"> </w:t>
            </w:r>
            <w:r w:rsidR="00E24D60"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  <w:gridSpan w:val="2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  <w:gridSpan w:val="2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</w:tcPr>
          <w:p w:rsidR="001806EA" w:rsidRDefault="001806EA" w:rsidP="00277DD1">
            <w:pPr>
              <w:pStyle w:val="TableParagraph"/>
              <w:tabs>
                <w:tab w:val="left" w:pos="1856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 w:rsidR="00277DD1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  <w:gridSpan w:val="2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8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  <w:gridSpan w:val="2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A31041" w:rsidRPr="00A31041"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засобів</w:t>
            </w:r>
            <w:r w:rsidR="00A31041" w:rsidRPr="00A31041"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технічного</w:t>
            </w:r>
            <w:r w:rsidR="00A31041" w:rsidRPr="00A31041">
              <w:rPr>
                <w:sz w:val="26"/>
              </w:rPr>
              <w:t xml:space="preserve"> </w:t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A31041">
            <w:pPr>
              <w:pStyle w:val="TableParagraph"/>
              <w:spacing w:before="1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</w:tcPr>
          <w:p w:rsidR="001806EA" w:rsidRDefault="001806EA" w:rsidP="00277DD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277DD1">
              <w:rPr>
                <w:spacing w:val="-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  <w:gridSpan w:val="2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</w:tcPr>
          <w:p w:rsidR="001806EA" w:rsidRDefault="001806EA" w:rsidP="00277DD1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  <w:gridSpan w:val="2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</w:tcPr>
          <w:p w:rsidR="001806EA" w:rsidRDefault="001806EA" w:rsidP="00277DD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277DD1">
              <w:rPr>
                <w:spacing w:val="-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  <w:gridSpan w:val="2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</w:tcPr>
          <w:p w:rsidR="001806EA" w:rsidRDefault="001806EA" w:rsidP="00277DD1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  <w:gridSpan w:val="2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</w:tcPr>
          <w:p w:rsidR="001806EA" w:rsidRDefault="001806EA" w:rsidP="00277DD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277DD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  <w:gridSpan w:val="2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</w:tcPr>
          <w:p w:rsidR="001806EA" w:rsidRDefault="001806EA" w:rsidP="00277DD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277DD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  <w:gridSpan w:val="2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572" w:rsidRDefault="00AB6572" w:rsidP="006376E3">
      <w:r>
        <w:separator/>
      </w:r>
    </w:p>
  </w:endnote>
  <w:endnote w:type="continuationSeparator" w:id="0">
    <w:p w:rsidR="00AB6572" w:rsidRDefault="00AB6572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572" w:rsidRDefault="00AB6572" w:rsidP="006376E3">
      <w:r>
        <w:separator/>
      </w:r>
    </w:p>
  </w:footnote>
  <w:footnote w:type="continuationSeparator" w:id="0">
    <w:p w:rsidR="00AB6572" w:rsidRDefault="00AB6572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0005C3">
        <w:pPr>
          <w:pStyle w:val="a6"/>
          <w:jc w:val="center"/>
        </w:pPr>
        <w:fldSimple w:instr=" PAGE   \* MERGEFORMAT ">
          <w:r w:rsidR="007501DF">
            <w:rPr>
              <w:noProof/>
            </w:rPr>
            <w:t>2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05C3"/>
    <w:rsid w:val="0002250D"/>
    <w:rsid w:val="0007612B"/>
    <w:rsid w:val="000B35C7"/>
    <w:rsid w:val="00104D97"/>
    <w:rsid w:val="001250F4"/>
    <w:rsid w:val="00131D90"/>
    <w:rsid w:val="001455CE"/>
    <w:rsid w:val="0015694D"/>
    <w:rsid w:val="001806EA"/>
    <w:rsid w:val="001F421E"/>
    <w:rsid w:val="00277DD1"/>
    <w:rsid w:val="00283555"/>
    <w:rsid w:val="002F3F2C"/>
    <w:rsid w:val="002F5F2F"/>
    <w:rsid w:val="00317CB1"/>
    <w:rsid w:val="00361FC0"/>
    <w:rsid w:val="003904F1"/>
    <w:rsid w:val="003C43CF"/>
    <w:rsid w:val="003F2099"/>
    <w:rsid w:val="00403AFF"/>
    <w:rsid w:val="00404B84"/>
    <w:rsid w:val="00411B13"/>
    <w:rsid w:val="004A7DC5"/>
    <w:rsid w:val="00521ACC"/>
    <w:rsid w:val="0053050F"/>
    <w:rsid w:val="005E78D1"/>
    <w:rsid w:val="005F7A7E"/>
    <w:rsid w:val="006376E3"/>
    <w:rsid w:val="00687780"/>
    <w:rsid w:val="006A0313"/>
    <w:rsid w:val="006E7468"/>
    <w:rsid w:val="00703FF0"/>
    <w:rsid w:val="00724428"/>
    <w:rsid w:val="00734D40"/>
    <w:rsid w:val="007479BC"/>
    <w:rsid w:val="007501DF"/>
    <w:rsid w:val="007503B9"/>
    <w:rsid w:val="007D663E"/>
    <w:rsid w:val="007E36FF"/>
    <w:rsid w:val="00843360"/>
    <w:rsid w:val="00893108"/>
    <w:rsid w:val="008B7F9E"/>
    <w:rsid w:val="008F2C75"/>
    <w:rsid w:val="00900D11"/>
    <w:rsid w:val="009220EC"/>
    <w:rsid w:val="009D3C71"/>
    <w:rsid w:val="00A0680B"/>
    <w:rsid w:val="00A26CC0"/>
    <w:rsid w:val="00A31041"/>
    <w:rsid w:val="00A311B2"/>
    <w:rsid w:val="00A43FEF"/>
    <w:rsid w:val="00A61D47"/>
    <w:rsid w:val="00AB6572"/>
    <w:rsid w:val="00B019F5"/>
    <w:rsid w:val="00B400B7"/>
    <w:rsid w:val="00B975EE"/>
    <w:rsid w:val="00C112B5"/>
    <w:rsid w:val="00C62F5B"/>
    <w:rsid w:val="00CF2A19"/>
    <w:rsid w:val="00D24BB5"/>
    <w:rsid w:val="00D507AC"/>
    <w:rsid w:val="00D92839"/>
    <w:rsid w:val="00E1050F"/>
    <w:rsid w:val="00E115AE"/>
    <w:rsid w:val="00E1595B"/>
    <w:rsid w:val="00E23940"/>
    <w:rsid w:val="00E24D60"/>
    <w:rsid w:val="00E27C06"/>
    <w:rsid w:val="00E4305C"/>
    <w:rsid w:val="00E92477"/>
    <w:rsid w:val="00EB72C5"/>
    <w:rsid w:val="00EE737D"/>
    <w:rsid w:val="00EF14AF"/>
    <w:rsid w:val="00F46694"/>
    <w:rsid w:val="00F53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u.gov.ua/2164558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A2A5D-BDA7-4F3C-8EAE-4D062B8C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4819</Words>
  <Characters>2748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2024-05-28T08:16:00Z</dcterms:created>
  <dcterms:modified xsi:type="dcterms:W3CDTF">2024-05-29T13:12:00Z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