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639"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10773" w:hanging="0"/>
        <w:rPr>
          <w:rFonts w:ascii="Times New Roman" w:hAnsi="Times New Roman" w:eastAsia="Calibri" w:cs="Calibri"/>
          <w:sz w:val="20"/>
          <w:szCs w:val="20"/>
        </w:rPr>
      </w:pPr>
      <w:r>
        <w:rPr>
          <w:rFonts w:eastAsia="Calibri" w:cs="Calibri" w:ascii="Times New Roman" w:hAnsi="Times New Roman"/>
          <w:sz w:val="20"/>
          <w:szCs w:val="20"/>
        </w:rPr>
        <w:t xml:space="preserve">Додаток </w:t>
      </w:r>
    </w:p>
    <w:p>
      <w:pPr>
        <w:pStyle w:val="Normal"/>
        <w:spacing w:lineRule="auto" w:line="240" w:before="0" w:after="0"/>
        <w:ind w:left="10773" w:hanging="0"/>
        <w:rPr>
          <w:rFonts w:ascii="Times New Roman" w:hAnsi="Times New Roman" w:eastAsia="Calibri" w:cs="Calibri"/>
          <w:sz w:val="20"/>
          <w:szCs w:val="20"/>
        </w:rPr>
      </w:pPr>
      <w:r>
        <w:rPr>
          <w:rFonts w:eastAsia="Calibri" w:cs="Calibri" w:ascii="Times New Roman" w:hAnsi="Times New Roman"/>
          <w:sz w:val="20"/>
          <w:szCs w:val="20"/>
        </w:rPr>
        <w:t>до листа Головного управління</w:t>
      </w:r>
    </w:p>
    <w:p>
      <w:pPr>
        <w:pStyle w:val="Normal"/>
        <w:spacing w:lineRule="auto" w:line="240" w:before="0" w:after="0"/>
        <w:ind w:left="10773" w:hanging="0"/>
        <w:rPr>
          <w:rFonts w:ascii="Times New Roman" w:hAnsi="Times New Roman" w:eastAsia="Calibri" w:cs="Calibri"/>
          <w:sz w:val="20"/>
          <w:szCs w:val="20"/>
        </w:rPr>
      </w:pPr>
      <w:r>
        <w:rPr>
          <w:rFonts w:eastAsia="Calibri" w:cs="Calibri" w:ascii="Times New Roman" w:hAnsi="Times New Roman"/>
          <w:sz w:val="20"/>
          <w:szCs w:val="20"/>
        </w:rPr>
        <w:t>Пенсійного фонду України в</w:t>
      </w:r>
    </w:p>
    <w:p>
      <w:pPr>
        <w:pStyle w:val="Normal"/>
        <w:spacing w:lineRule="auto" w:line="240" w:before="0" w:after="0"/>
        <w:ind w:left="10773" w:hanging="0"/>
        <w:rPr>
          <w:rFonts w:ascii="Times New Roman" w:hAnsi="Times New Roman" w:eastAsia="Calibri" w:cs="Calibri"/>
          <w:sz w:val="20"/>
          <w:szCs w:val="20"/>
        </w:rPr>
      </w:pPr>
      <w:r>
        <w:rPr>
          <w:rFonts w:eastAsia="Calibri" w:cs="Calibri" w:ascii="Times New Roman" w:hAnsi="Times New Roman"/>
          <w:sz w:val="20"/>
          <w:szCs w:val="20"/>
        </w:rPr>
        <w:t>Миколаївській області</w:t>
      </w:r>
    </w:p>
    <w:p>
      <w:pPr>
        <w:pStyle w:val="Normal"/>
        <w:spacing w:lineRule="auto" w:line="240" w:before="0" w:after="0"/>
        <w:ind w:left="10773" w:hanging="0"/>
        <w:rPr>
          <w:rFonts w:ascii="Times New Roman" w:hAnsi="Times New Roman" w:eastAsia="Calibri" w:cs="Calibri"/>
          <w:sz w:val="20"/>
          <w:szCs w:val="20"/>
        </w:rPr>
      </w:pPr>
      <w:r>
        <w:rPr>
          <w:rFonts w:eastAsia="Calibri" w:cs="Calibri" w:ascii="Times New Roman" w:hAnsi="Times New Roman"/>
          <w:sz w:val="20"/>
          <w:szCs w:val="20"/>
        </w:rPr>
        <w:t>«Про надання інформації»</w:t>
      </w:r>
    </w:p>
    <w:p>
      <w:pPr>
        <w:pStyle w:val="Normal"/>
        <w:spacing w:lineRule="auto" w:line="240" w:before="0" w:after="0"/>
        <w:ind w:left="4820" w:hanging="0"/>
        <w:rPr>
          <w:rFonts w:ascii="Times New Roman" w:hAnsi="Times New Roman" w:eastAsia="Calibri" w:cs="Calibri"/>
          <w:sz w:val="28"/>
        </w:rPr>
      </w:pPr>
      <w:r>
        <w:rPr>
          <w:rFonts w:eastAsia="Calibri" w:cs="Calibri" w:ascii="Times New Roman" w:hAnsi="Times New Roman"/>
          <w:sz w:val="28"/>
        </w:rPr>
      </w:r>
    </w:p>
    <w:p>
      <w:pPr>
        <w:pStyle w:val="Normal"/>
        <w:spacing w:lineRule="auto" w:line="240" w:before="0" w:after="0"/>
        <w:ind w:left="4820" w:hanging="0"/>
        <w:rPr>
          <w:rFonts w:ascii="Times New Roman" w:hAnsi="Times New Roman" w:eastAsia="Calibri" w:cs="Calibri"/>
          <w:sz w:val="28"/>
        </w:rPr>
      </w:pPr>
      <w:r>
        <w:rPr>
          <w:rFonts w:eastAsia="Calibri" w:cs="Calibri" w:ascii="Times New Roman" w:hAnsi="Times New Roman"/>
          <w:sz w:val="28"/>
        </w:rPr>
      </w:r>
    </w:p>
    <w:p>
      <w:pPr>
        <w:pStyle w:val="Normal"/>
        <w:spacing w:lineRule="auto" w:line="240" w:before="0" w:after="0"/>
        <w:jc w:val="center"/>
        <w:rPr>
          <w:rFonts w:ascii="Times New Roman" w:hAnsi="Times New Roman" w:eastAsia="Calibri" w:cs="Calibri"/>
          <w:b/>
          <w:b/>
          <w:sz w:val="28"/>
        </w:rPr>
      </w:pPr>
      <w:r>
        <w:rPr>
          <w:rFonts w:eastAsia="Calibri" w:cs="Calibri" w:ascii="Times New Roman" w:hAnsi="Times New Roman"/>
          <w:b/>
          <w:sz w:val="28"/>
        </w:rPr>
      </w:r>
    </w:p>
    <w:p>
      <w:pPr>
        <w:pStyle w:val="Normal"/>
        <w:spacing w:lineRule="auto" w:line="240" w:before="0" w:after="0"/>
        <w:jc w:val="center"/>
        <w:rPr>
          <w:rFonts w:ascii="Times New Roman" w:hAnsi="Times New Roman" w:eastAsia="Calibri" w:cs="Calibri"/>
          <w:b/>
          <w:b/>
          <w:sz w:val="28"/>
        </w:rPr>
      </w:pPr>
      <w:r>
        <w:rPr>
          <w:rFonts w:eastAsia="Calibri" w:cs="Calibri" w:ascii="Times New Roman" w:hAnsi="Times New Roman"/>
          <w:b/>
          <w:sz w:val="28"/>
        </w:rPr>
        <w:t xml:space="preserve">Інформація </w:t>
      </w:r>
    </w:p>
    <w:p>
      <w:pPr>
        <w:pStyle w:val="Normal"/>
        <w:spacing w:lineRule="auto" w:line="240" w:before="0" w:after="0"/>
        <w:jc w:val="center"/>
        <w:rPr>
          <w:rFonts w:ascii="Times New Roman" w:hAnsi="Times New Roman" w:eastAsia="Calibri" w:cs="Calibri"/>
          <w:b/>
          <w:b/>
          <w:sz w:val="28"/>
        </w:rPr>
      </w:pPr>
      <w:r>
        <w:rPr>
          <w:rFonts w:eastAsia="Calibri" w:cs="Calibri" w:ascii="Times New Roman" w:hAnsi="Times New Roman"/>
          <w:b/>
          <w:sz w:val="28"/>
        </w:rPr>
        <w:t xml:space="preserve">про стан реалізації завдань та заходів, передбачених Антикорупційною програмою </w:t>
      </w:r>
    </w:p>
    <w:p>
      <w:pPr>
        <w:pStyle w:val="Normal"/>
        <w:spacing w:lineRule="auto" w:line="240" w:before="0" w:after="0"/>
        <w:jc w:val="center"/>
        <w:rPr>
          <w:rFonts w:ascii="Times New Roman" w:hAnsi="Times New Roman" w:eastAsia="Calibri" w:cs="Calibri"/>
          <w:b/>
          <w:b/>
          <w:sz w:val="28"/>
        </w:rPr>
      </w:pPr>
      <w:r>
        <w:rPr>
          <w:rFonts w:eastAsia="Calibri" w:cs="Calibri" w:ascii="Times New Roman" w:hAnsi="Times New Roman"/>
          <w:b/>
          <w:sz w:val="28"/>
        </w:rPr>
        <w:t xml:space="preserve">Пенсійного фонду України та його органів на 2021-2023 роки </w:t>
      </w:r>
    </w:p>
    <w:p>
      <w:pPr>
        <w:pStyle w:val="NoSpacing"/>
        <w:spacing w:lineRule="auto" w:line="240" w:before="0" w:after="0"/>
        <w:jc w:val="center"/>
        <w:rPr>
          <w:sz w:val="28"/>
          <w:szCs w:val="28"/>
        </w:rPr>
      </w:pPr>
      <w:r>
        <w:rPr>
          <w:rFonts w:eastAsia="Calibri" w:cs="Calibri"/>
          <w:b/>
          <w:sz w:val="28"/>
          <w:szCs w:val="28"/>
          <w:lang w:val="uk-UA"/>
        </w:rPr>
        <w:t>Головним управлінням Пенсійного фонду України в Миколаївській області</w:t>
      </w:r>
    </w:p>
    <w:p>
      <w:pPr>
        <w:pStyle w:val="Normal"/>
        <w:spacing w:lineRule="auto" w:line="240" w:before="0" w:after="0"/>
        <w:jc w:val="center"/>
        <w:rPr>
          <w:rFonts w:ascii="Times New Roman" w:hAnsi="Times New Roman" w:eastAsia="Calibri" w:cs="Calibri"/>
          <w:b/>
          <w:b/>
          <w:sz w:val="28"/>
        </w:rPr>
      </w:pPr>
      <w:r>
        <w:rPr>
          <w:rFonts w:eastAsia="Calibri" w:cs="Calibri" w:ascii="Times New Roman" w:hAnsi="Times New Roman"/>
          <w:b/>
          <w:sz w:val="28"/>
        </w:rPr>
        <w:t>за 2023 рік</w:t>
      </w:r>
    </w:p>
    <w:tbl>
      <w:tblPr>
        <w:tblStyle w:val="a3"/>
        <w:tblW w:w="1395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58"/>
        <w:gridCol w:w="2882"/>
        <w:gridCol w:w="1141"/>
        <w:gridCol w:w="929"/>
        <w:gridCol w:w="1080"/>
        <w:gridCol w:w="1530"/>
        <w:gridCol w:w="4614"/>
        <w:gridCol w:w="1414"/>
      </w:tblGrid>
      <w:tr>
        <w:trPr/>
        <w:tc>
          <w:tcPr>
            <w:tcW w:w="358"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 xml:space="preserve">№ </w:t>
            </w:r>
            <w:r>
              <w:rPr>
                <w:rFonts w:eastAsia="Calibri" w:cs="Times New Roman" w:ascii="Times New Roman" w:hAnsi="Times New Roman"/>
                <w:b/>
                <w:kern w:val="0"/>
                <w:sz w:val="24"/>
                <w:szCs w:val="24"/>
                <w:lang w:eastAsia="en-US" w:bidi="ar-SA"/>
              </w:rPr>
              <w:t>з/п</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2882"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Найменування завдання/заходу</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щодо усунення корупційного ризику, зазначеного у Антикорупційній програмі</w:t>
            </w:r>
          </w:p>
        </w:tc>
        <w:tc>
          <w:tcPr>
            <w:tcW w:w="1141"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Особа (особи), відповідальна (і) за виконання заходу</w:t>
            </w:r>
          </w:p>
        </w:tc>
        <w:tc>
          <w:tcPr>
            <w:tcW w:w="929"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Строк виконання заходів щодо усунення корупційного ризику</w:t>
            </w:r>
          </w:p>
        </w:tc>
        <w:tc>
          <w:tcPr>
            <w:tcW w:w="1080"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 xml:space="preserve"> </w:t>
            </w:r>
            <w:r>
              <w:rPr>
                <w:rFonts w:eastAsia="Calibri" w:cs="Times New Roman" w:ascii="Times New Roman" w:hAnsi="Times New Roman"/>
                <w:b/>
                <w:kern w:val="0"/>
                <w:sz w:val="24"/>
                <w:szCs w:val="24"/>
                <w:lang w:eastAsia="en-US" w:bidi="ar-SA"/>
              </w:rPr>
              <w:t>Фактичний термін (строк) виконання заходів впливу на корупційний ризик</w:t>
            </w:r>
          </w:p>
        </w:tc>
        <w:tc>
          <w:tcPr>
            <w:tcW w:w="1530"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Стан виконання заходів впливу на корупційний ризик (виконано/невиконано/виконано частково)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Опис результатів виконання заходів впливу на корупційний ризик або інформація про причини невиконання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eastAsia="en-US" w:bidi="ar-SA"/>
              </w:rPr>
              <w:t>Примітка</w:t>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Розділ І. Засади загальної відомчої політики щодо запобігання та протидії корупції у Пенсійному фонді України та його органах, заходи з їх реалізації (пункт 5 цього розділу) Антикорупційної програми</w:t>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Навчання та підвищення професійної компетентності працівників сектора з питань запобігання та виявлення корупції.</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 Білявська К. А.</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Протягом року працівники сектору отримали 14 сертифікатів. Навчалися: НАЗК — 02.02.2023; 28.03.2023; 27.06.2023; 19.05.2023 (“На захисті прав викривачів”,”Візуй професійно”, “Доброчесна державна служба”, “Декларуйся 2022”); </w:t>
            </w:r>
            <w:r>
              <w:rPr>
                <w:rFonts w:cs="Times New Roman" w:ascii="Times New Roman" w:hAnsi="Times New Roman"/>
                <w:b w:val="false"/>
                <w:bCs w:val="false"/>
                <w:sz w:val="24"/>
                <w:szCs w:val="24"/>
                <w:lang w:val="uk-UA"/>
              </w:rPr>
              <w:t>29.08.2023; 25.10.2023 (“</w:t>
            </w:r>
            <w:r>
              <w:rPr>
                <w:rFonts w:eastAsia="Calibri" w:cs="Calibri" w:ascii="Times New Roman" w:hAnsi="Times New Roman"/>
                <w:b w:val="false"/>
                <w:bCs w:val="false"/>
                <w:kern w:val="0"/>
                <w:sz w:val="24"/>
                <w:szCs w:val="24"/>
                <w:lang w:val="uk-UA" w:eastAsia="en-US" w:bidi="ar-SA"/>
              </w:rPr>
              <w:t xml:space="preserve">Конфлікт інтересів: від виявлення до врегулювання”, </w:t>
            </w:r>
            <w:r>
              <w:rPr>
                <w:rFonts w:eastAsia="Calibri" w:cs="Times New Roman" w:ascii="Times New Roman" w:hAnsi="Times New Roman"/>
                <w:b w:val="false"/>
                <w:bCs w:val="false"/>
                <w:kern w:val="0"/>
                <w:sz w:val="24"/>
                <w:szCs w:val="24"/>
                <w:lang w:val="uk-UA" w:eastAsia="en-US" w:bidi="ar-SA"/>
              </w:rPr>
              <w:t>“Декларуйся 2022”).</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Прометеус: 15.02.2023; 20.02.2023 (“Попередження ризиків від вибухонебезпечних предметів”).</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Сумський державний університет: 20.03.2023 (“Організація публічної влади та протидія корупції у сфері публічного управління”).</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НАДС: 20.03.2023; 24.04.2023; 24.05.2023; </w:t>
            </w:r>
            <w:r>
              <w:rPr>
                <w:rFonts w:cs="Times New Roman" w:ascii="Times New Roman" w:hAnsi="Times New Roman"/>
                <w:b w:val="false"/>
                <w:bCs w:val="false"/>
                <w:sz w:val="24"/>
                <w:szCs w:val="24"/>
                <w:lang w:val="uk-UA"/>
              </w:rPr>
              <w:t xml:space="preserve">11.09.2023 </w:t>
            </w:r>
            <w:r>
              <w:rPr>
                <w:rFonts w:cs="Times New Roman" w:ascii="Times New Roman" w:hAnsi="Times New Roman"/>
                <w:b w:val="false"/>
                <w:bCs w:val="false"/>
                <w:sz w:val="24"/>
                <w:szCs w:val="24"/>
              </w:rPr>
              <w:t>(“Регіональна цифрова трансформація”, “Запобігання корупції та забезпечення доброчесності”, “Кризові комунікації”).</w:t>
            </w:r>
          </w:p>
          <w:p>
            <w:pPr>
              <w:pStyle w:val="NoSpacing"/>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b w:val="false"/>
                <w:bCs w:val="false"/>
                <w:sz w:val="24"/>
                <w:szCs w:val="24"/>
                <w:lang w:val="uk-UA" w:eastAsia="en-US" w:bidi="ar-SA"/>
              </w:rPr>
              <w:t>Вища школа публічного управління: 10.07.2023 (“Організація роботи з декларування у державному органі”).</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Надання методичної та консультаційної допомоги працівникам Головного управління з питань дотримання вимог актів законодавства з питань етичної поведінки, запобігання та врегулювання конфлікту інтересів, інших вимог, обмежень заборон, передбачених Законом</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Працівниками сектору різними засобами комунікації надано 108 консультацій та роз'яснень з питань дотримання вимог антикорупційного законодавства</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Розробка та прийняття локальних нормативно-правових або організаційно-розпорядчих актів з питань запобігання та виявлення корупції у Фонді та його органах</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Постійно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Протягом звітного періоду до самостійних структурних підрозділів Головного управління направлено 11 службових записок щодо змін та роз'яснень з антикорупційного законодавства</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Візування уповноваженими підрозділами з питань запобігання та виявлення корупції Фонду та його органів проєктів актів з основної діяльності, адміністративно-господарських питань та кадрових наказів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b w:val="false"/>
                <w:bCs w:val="false"/>
                <w:sz w:val="24"/>
                <w:szCs w:val="24"/>
              </w:rPr>
              <w:t xml:space="preserve">Працівниками сектору проведено візування - </w:t>
            </w:r>
            <w:r>
              <w:rPr>
                <w:rFonts w:cs="Times New Roman" w:ascii="Times New Roman" w:hAnsi="Times New Roman"/>
                <w:b w:val="false"/>
                <w:bCs w:val="false"/>
                <w:color w:val="000000"/>
                <w:sz w:val="24"/>
                <w:szCs w:val="24"/>
                <w:shd w:fill="auto" w:val="clear"/>
              </w:rPr>
              <w:t>1860</w:t>
            </w:r>
            <w:r>
              <w:rPr>
                <w:rFonts w:cs="Times New Roman" w:ascii="Times New Roman" w:hAnsi="Times New Roman"/>
                <w:b w:val="false"/>
                <w:bCs w:val="false"/>
                <w:sz w:val="24"/>
                <w:szCs w:val="24"/>
              </w:rPr>
              <w:t xml:space="preserve"> проєктів актів з основної діяльності, адміністративно-господарських питань та кадрових наказів</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Аналіз потенційних та наявних контрагентів Фонду та його органів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uk-UA"/>
              </w:rPr>
              <w:t xml:space="preserve">Відповідно до Порядку проведення аналізу потенційних та наявних контрагентів Головного управління за звітний період проведено аналіз </w:t>
            </w:r>
            <w:r>
              <w:rPr>
                <w:rFonts w:cs="Times New Roman" w:ascii="Times New Roman" w:hAnsi="Times New Roman"/>
                <w:b w:val="false"/>
                <w:bCs w:val="false"/>
                <w:color w:val="000000"/>
                <w:sz w:val="24"/>
                <w:szCs w:val="24"/>
                <w:shd w:fill="auto" w:val="clear"/>
                <w:lang w:val="uk-UA"/>
              </w:rPr>
              <w:t>102</w:t>
            </w:r>
            <w:r>
              <w:rPr>
                <w:rFonts w:cs="Times New Roman" w:ascii="Times New Roman" w:hAnsi="Times New Roman"/>
                <w:b w:val="false"/>
                <w:bCs w:val="false"/>
                <w:sz w:val="24"/>
                <w:szCs w:val="24"/>
                <w:lang w:val="uk-UA"/>
              </w:rPr>
              <w:t xml:space="preserve"> контрагентів з використанням даних з реєстрів, які працюють під час воєнного стану</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Реалізація Антикорупційної програми, її періодичний перегляд з урахуванням ідентифікованих ризиків та моніторинг виконання</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Самостійним структурним підрозділам Головного управління направлено 5 службових записок щодо внесення змін, доповнень до Антикорупційної програми. Про результати виконання Антикорупційної програми структурні підрозділи звітували до 05.01. та 05.07. 2021-2023 років</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Контроль за дотриманням працівниками Фонду та його органів правил етичної поведінки, вимог та обмежень, встановлених Законом</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 керівники структурних підрозділів</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Постійно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pPr>
            <w:r>
              <w:rPr>
                <w:rFonts w:cs="Times New Roman" w:ascii="Times New Roman" w:hAnsi="Times New Roman"/>
                <w:b w:val="false"/>
                <w:bCs w:val="false"/>
                <w:sz w:val="24"/>
                <w:szCs w:val="24"/>
              </w:rPr>
              <w:t xml:space="preserve">Сектором підготовлено та направлено до управління контрольно-перевірочної роботи пам'ятки  </w:t>
            </w:r>
            <w:r>
              <w:rPr>
                <w:rFonts w:ascii="Times New Roman" w:hAnsi="Times New Roman"/>
                <w:sz w:val="24"/>
                <w:szCs w:val="24"/>
              </w:rPr>
              <w:t>про персональну відповідальність за порушення законодавства та обов’язок повідомлення керівника у разі спроб протиправного впливу з боку третіх осіб, службова записка від 12.06.2023 № 82/14-16 та службовою запискою від 14.06.2023 № 84/14-16 про рекомендації щодо організації прийняття участі працівників Головного управління Пенсійного фонду України в Миколаївській області у роботі колегіальних органів.</w:t>
            </w:r>
          </w:p>
          <w:p>
            <w:pPr>
              <w:pStyle w:val="Normal"/>
              <w:widowControl w:val="false"/>
              <w:tabs>
                <w:tab w:val="clear" w:pos="708"/>
                <w:tab w:val="left" w:pos="9639" w:leader="none"/>
              </w:tabs>
              <w:suppressAutoHyphens w:val="true"/>
              <w:spacing w:lineRule="auto" w:line="240" w:before="0" w:after="0"/>
              <w:jc w:val="both"/>
              <w:rPr/>
            </w:pPr>
            <w:r>
              <w:rPr>
                <w:rFonts w:ascii="Times New Roman" w:hAnsi="Times New Roman"/>
                <w:sz w:val="24"/>
                <w:szCs w:val="24"/>
              </w:rPr>
              <w:t>Сектором проведено перевірку дотримання працівниками Головного управління обмежень щодо сумісництва та суміщення з іншими видами діяльності. Результати перевірки доведені керівнику службовими записками від 16.08.2023 № 125/14-16; від 10.10.2023 № 150/14-16.</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Запобігання, виявлення та врегулювання конфлікту інтересів у працівників Фонду та його органів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 керівники структурних підрозділів</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uk-UA"/>
              </w:rPr>
              <w:t xml:space="preserve">За звітний період не виявлено неврегульованих випадків конфлікту інтересів, від працівників надійшло 4 повідомлення про потенційний конфлікт інтересів, які були врегульовані шляхом застосування зовнішнього контролю за виконанням завдань відповідно до прийнятих наказів. </w:t>
            </w:r>
            <w:r>
              <w:rPr>
                <w:rFonts w:cs="Times New Roman" w:ascii="Times New Roman" w:hAnsi="Times New Roman"/>
                <w:b w:val="false"/>
                <w:bCs w:val="false"/>
                <w:sz w:val="24"/>
                <w:szCs w:val="24"/>
              </w:rPr>
              <w:t xml:space="preserve">Проведено моніторинг за розглядом повторних звернень та скарг на дії/бездіяльність посадових осіб Головного управління, службова записка від 03.04.2023 № 47/14-16; від 04.12.2023 № 199/14-16. З управлінням по роботі з персоналом проведено звірку щодо близьких осіб, які працюють в Головному управлінні з метою запобігання прямої підпорядкованості. Доповідна записка від 03.11.2023 № 175/14-16 </w:t>
            </w:r>
            <w:r>
              <w:rPr>
                <w:rFonts w:ascii="Times New Roman" w:hAnsi="Times New Roman"/>
                <w:sz w:val="24"/>
                <w:szCs w:val="24"/>
              </w:rPr>
              <w:t>щодо запобігання та врегулювання потенційного та реального конфлікту інтересів відносно близьких осіб працівників Головного управління.</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Контроль своєчасності подання декларацій осіб, уповноважених на виконання функцій держави або місцевого самоврядування, що подаються працівниками Фонду та його органами</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 керівники структурних підрозділів</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Зазначені Законом терміни</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Виконується</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С</w:t>
            </w:r>
            <w:r>
              <w:rPr>
                <w:rFonts w:cs="Times New Roman" w:ascii="Times New Roman" w:hAnsi="Times New Roman"/>
                <w:b w:val="false"/>
                <w:bCs w:val="false"/>
                <w:sz w:val="24"/>
                <w:szCs w:val="24"/>
                <w:lang w:val="uk-UA"/>
              </w:rPr>
              <w:t>таном на 01.01.2024 здійснено 1523 перевірки фактів подання декларацій осіб, уповноважених на виконання функцій держави або місцевого самоврядування шляхом пошуку та перегляду інформації в публічній частині</w:t>
            </w:r>
            <w:r>
              <w:rPr>
                <w:rFonts w:cs="Times New Roman" w:ascii="Times New Roman" w:hAnsi="Times New Roman"/>
                <w:b w:val="false"/>
                <w:bCs w:val="false"/>
                <w:sz w:val="28"/>
                <w:szCs w:val="28"/>
                <w:lang w:val="uk-UA"/>
              </w:rPr>
              <w:t xml:space="preserve"> </w:t>
            </w:r>
            <w:r>
              <w:rPr>
                <w:rFonts w:cs="Times New Roman" w:ascii="Times New Roman" w:hAnsi="Times New Roman"/>
                <w:b w:val="false"/>
                <w:bCs w:val="false"/>
                <w:sz w:val="24"/>
                <w:szCs w:val="24"/>
                <w:lang w:val="uk-UA"/>
              </w:rPr>
              <w:t>Єдиного державного реєстру декларацій.</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uk-UA"/>
              </w:rPr>
              <w:t>Відповідно до Закону України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змінено строк подачі декларацій за 2021, 2022 роки до 31.01.2024</w:t>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9</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Проведення спеціальної</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перевірки стосовно осіб, які претендують на призначення на посади у Фонді та його органах</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Білявська К. А., 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Станом на 01.01.2024 надали згоду на проведення спеціальної перевірки 30 </w:t>
            </w:r>
            <w:r>
              <w:rPr>
                <w:rFonts w:ascii="Times New Roman" w:hAnsi="Times New Roman"/>
                <w:sz w:val="24"/>
                <w:szCs w:val="24"/>
              </w:rPr>
              <w:t>претендентів на посаду, що передбачає відповідальне або особливо відповідальне становище та посаду з підвищеним корупційним ризиком, визначених в ст. 56 Закону України “Про запобігання корупції”. Стосовно 29 претендентів спеціальна перевірка триває</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10</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Інформування Національного агентства з питань запобігання корупції про випадки накладання дисциплінарних стягнень на працівників Фонду та його органів за вчинення ними корупційного або пов'язаного з корупцією правопорушення, інших порушень Закону</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Відсутні дисциплінарні стягнення на працівників Головного управління за вчинення ними корупційного або пов'язаного з корупцією правопорушення, інших порушень Закону.</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11</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Перевірка повідомлень про корупцію, вжиття заходів для припинення порушень та притягнення винних осіб до відповідальності, інформування правоохоронних органів про можливі факти корупційних або пов'язаних з корупцією правопорушень чи інших порушень Закону, про які повідомляють викривачі</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Погребняк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spacing w:before="0" w:after="0"/>
              <w:jc w:val="both"/>
              <w:rPr>
                <w:rFonts w:ascii="Times New Roman" w:hAnsi="Times New Roman"/>
                <w:sz w:val="24"/>
                <w:szCs w:val="24"/>
              </w:rPr>
            </w:pPr>
            <w:r>
              <w:rPr>
                <w:rFonts w:ascii="Times New Roman" w:hAnsi="Times New Roman"/>
                <w:sz w:val="24"/>
                <w:szCs w:val="24"/>
                <w:lang w:val="uk-UA"/>
              </w:rPr>
              <w:t xml:space="preserve">Розглянуто 5 повідомлень громадян. </w:t>
            </w:r>
            <w:r>
              <w:rPr>
                <w:rFonts w:cs="Arial" w:ascii="Times New Roman" w:hAnsi="Times New Roman"/>
                <w:b w:val="false"/>
                <w:bCs w:val="false"/>
                <w:color w:val="000000"/>
                <w:sz w:val="24"/>
                <w:szCs w:val="24"/>
                <w:lang w:val="en-US" w:eastAsia="zh-CN" w:bidi="hi-IN"/>
              </w:rPr>
              <w:t>П</w:t>
            </w:r>
            <w:r>
              <w:rPr>
                <w:rFonts w:cs="Arial" w:ascii="Times New Roman" w:hAnsi="Times New Roman"/>
                <w:b w:val="false"/>
                <w:bCs w:val="false"/>
                <w:color w:val="000000"/>
                <w:sz w:val="24"/>
                <w:szCs w:val="24"/>
                <w:lang w:val="uk-UA" w:eastAsia="zh-CN" w:bidi="hi-IN"/>
              </w:rPr>
              <w:t>ід час розгляду, яких порушень</w:t>
            </w:r>
            <w:r>
              <w:rPr>
                <w:rFonts w:cs="Arial" w:ascii="Times New Roman" w:hAnsi="Times New Roman"/>
                <w:b w:val="false"/>
                <w:bCs w:val="false"/>
                <w:color w:val="000000"/>
                <w:sz w:val="28"/>
                <w:szCs w:val="28"/>
                <w:lang w:val="uk-UA" w:eastAsia="zh-CN" w:bidi="hi-IN"/>
              </w:rPr>
              <w:t xml:space="preserve"> </w:t>
            </w:r>
            <w:r>
              <w:rPr>
                <w:rFonts w:cs="Arial" w:ascii="Times New Roman" w:hAnsi="Times New Roman"/>
                <w:b w:val="false"/>
                <w:bCs w:val="false"/>
                <w:color w:val="000000"/>
                <w:sz w:val="24"/>
                <w:szCs w:val="24"/>
                <w:lang w:val="uk-UA" w:eastAsia="zh-CN" w:bidi="hi-IN"/>
              </w:rPr>
              <w:t>антикорупційного законодавства не встановлено.</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12</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Проведення службових розслідувань (перевірок) стосовно осіб, уповноважених на виконання функцій держави, виявлення причин і умов, які сприяють вчиненню корупційних та пов'язаних з корупцією правопорушень (за наявності підстав)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Члени дисциплінарної комісії</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Постійно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Протягом звітного періоду службові розслідування не проводились</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13</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Заохочення та формування культури повідомлення про можливі факти корупційних або пов'язаних з корупцією правопорушень, інших порушень Закону</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Spacing"/>
              <w:widowControl w:val="false"/>
              <w:suppressAutoHyphens w:val="true"/>
              <w:spacing w:before="0" w:after="0"/>
              <w:jc w:val="both"/>
              <w:rPr>
                <w:sz w:val="24"/>
                <w:szCs w:val="24"/>
                <w:lang w:val="uk-UA" w:eastAsia="en-US" w:bidi="ar-SA"/>
              </w:rPr>
            </w:pPr>
            <w:r>
              <w:rPr>
                <w:rFonts w:eastAsia="Calibri" w:cs="Times New Roman"/>
                <w:kern w:val="0"/>
                <w:sz w:val="24"/>
                <w:szCs w:val="24"/>
                <w:lang w:val="uk-UA" w:eastAsia="en-US" w:bidi="ar-SA"/>
              </w:rPr>
              <w:t>Сектором проведено: 22.03.</w:t>
            </w:r>
            <w:r>
              <w:rPr>
                <w:rFonts w:eastAsia="Calibri" w:cs="Times New Roman"/>
                <w:b w:val="false"/>
                <w:bCs w:val="false"/>
                <w:kern w:val="0"/>
                <w:sz w:val="24"/>
                <w:szCs w:val="24"/>
                <w:lang w:val="uk-UA" w:eastAsia="en-US" w:bidi="ar-SA"/>
              </w:rPr>
              <w:t>2023 - міні-лекція “Порядок повідомлення про корупцію у ПФУ та його органах”;</w:t>
            </w:r>
          </w:p>
          <w:p>
            <w:pPr>
              <w:pStyle w:val="NoSpacing"/>
              <w:widowControl w:val="false"/>
              <w:suppressAutoHyphens w:val="true"/>
              <w:spacing w:before="0" w:after="0"/>
              <w:jc w:val="both"/>
              <w:rPr>
                <w:sz w:val="24"/>
                <w:szCs w:val="24"/>
                <w:lang w:val="uk-UA" w:eastAsia="en-US" w:bidi="ar-SA"/>
              </w:rPr>
            </w:pPr>
            <w:r>
              <w:rPr>
                <w:rFonts w:eastAsia="Calibri" w:cs="Times New Roman"/>
                <w:b w:val="false"/>
                <w:bCs w:val="false"/>
                <w:kern w:val="0"/>
                <w:sz w:val="24"/>
                <w:szCs w:val="24"/>
                <w:lang w:val="uk-UA" w:eastAsia="en-US" w:bidi="ar-SA"/>
              </w:rPr>
              <w:t>29.03.2023 - тренінг “Викривач правовий статус”;</w:t>
            </w:r>
          </w:p>
          <w:p>
            <w:pPr>
              <w:pStyle w:val="NoSpacing"/>
              <w:widowControl w:val="false"/>
              <w:suppressAutoHyphens w:val="true"/>
              <w:spacing w:before="0" w:after="0"/>
              <w:jc w:val="both"/>
              <w:rPr>
                <w:sz w:val="24"/>
                <w:szCs w:val="24"/>
                <w:lang w:val="uk-UA" w:eastAsia="en-US" w:bidi="ar-SA"/>
              </w:rPr>
            </w:pPr>
            <w:r>
              <w:rPr>
                <w:rFonts w:eastAsia="Calibri" w:cs="Times New Roman"/>
                <w:b w:val="false"/>
                <w:bCs w:val="false"/>
                <w:kern w:val="0"/>
                <w:sz w:val="24"/>
                <w:szCs w:val="24"/>
                <w:lang w:val="uk-UA" w:eastAsia="en-US" w:bidi="ar-SA"/>
              </w:rPr>
              <w:t>23.06.2023 - тестування “Викривач в законі”;</w:t>
            </w:r>
          </w:p>
          <w:p>
            <w:pPr>
              <w:pStyle w:val="NoSpacing"/>
              <w:widowControl w:val="false"/>
              <w:suppressAutoHyphens w:val="true"/>
              <w:spacing w:before="0" w:after="0"/>
              <w:jc w:val="both"/>
              <w:rPr>
                <w:sz w:val="24"/>
                <w:szCs w:val="24"/>
                <w:lang w:val="uk-UA" w:eastAsia="en-US" w:bidi="ar-SA"/>
              </w:rPr>
            </w:pPr>
            <w:r>
              <w:rPr>
                <w:rFonts w:eastAsia="Calibri" w:cs="Times New Roman"/>
                <w:b w:val="false"/>
                <w:bCs w:val="false"/>
                <w:kern w:val="0"/>
                <w:sz w:val="24"/>
                <w:szCs w:val="24"/>
                <w:lang w:val="uk-UA" w:eastAsia="en-US" w:bidi="ar-SA"/>
              </w:rPr>
              <w:t>23.06.2023 - Розповсюдження брошур в сервісних центрах  Головного управління “Викривач в законі”;</w:t>
            </w:r>
          </w:p>
          <w:p>
            <w:pPr>
              <w:pStyle w:val="NoSpacing"/>
              <w:widowControl w:val="false"/>
              <w:suppressAutoHyphens w:val="true"/>
              <w:spacing w:before="0" w:after="0"/>
              <w:jc w:val="both"/>
              <w:rPr>
                <w:sz w:val="24"/>
                <w:szCs w:val="24"/>
                <w:lang w:val="uk-UA" w:eastAsia="en-US" w:bidi="ar-SA"/>
              </w:rPr>
            </w:pPr>
            <w:r>
              <w:rPr>
                <w:rFonts w:eastAsia="Calibri" w:cs="Times New Roman"/>
                <w:b w:val="false"/>
                <w:bCs w:val="false"/>
                <w:kern w:val="0"/>
                <w:sz w:val="24"/>
                <w:szCs w:val="24"/>
                <w:lang w:val="uk-UA" w:eastAsia="en-US" w:bidi="ar-SA"/>
              </w:rPr>
              <w:t xml:space="preserve">27.07.2023 - </w:t>
            </w:r>
            <w:r>
              <w:rPr>
                <w:rFonts w:eastAsia="Calibri" w:cs="Times New Roman"/>
                <w:b w:val="false"/>
                <w:bCs w:val="false"/>
                <w:i w:val="false"/>
                <w:strike w:val="false"/>
                <w:dstrike w:val="false"/>
                <w:outline w:val="false"/>
                <w:shadow w:val="false"/>
                <w:color w:val="000000"/>
                <w:kern w:val="0"/>
                <w:sz w:val="24"/>
                <w:szCs w:val="24"/>
                <w:u w:val="none"/>
                <w:em w:val="none"/>
                <w:lang w:val="uk-UA" w:eastAsia="en-US" w:bidi="ar-SA"/>
              </w:rPr>
              <w:t>Публікація в Telegram-каналі та на сторінці Головного управління у Facebook “Порядок повідомлення про корупцію у Головному управлінні Пенсійного фонду України в Миколаївській області”;</w:t>
            </w:r>
          </w:p>
          <w:p>
            <w:pPr>
              <w:pStyle w:val="NoSpacing"/>
              <w:widowControl w:val="false"/>
              <w:suppressAutoHyphens w:val="true"/>
              <w:spacing w:before="0" w:after="0"/>
              <w:jc w:val="both"/>
              <w:rPr>
                <w:sz w:val="24"/>
                <w:szCs w:val="24"/>
                <w:lang w:val="uk-UA" w:eastAsia="en-US" w:bidi="ar-SA"/>
              </w:rPr>
            </w:pPr>
            <w:r>
              <w:rPr>
                <w:rFonts w:eastAsia="Calibri" w:cs="Times New Roman"/>
                <w:b w:val="false"/>
                <w:bCs w:val="false"/>
                <w:i w:val="false"/>
                <w:strike w:val="false"/>
                <w:dstrike w:val="false"/>
                <w:outline w:val="false"/>
                <w:shadow w:val="false"/>
                <w:color w:val="000000"/>
                <w:kern w:val="0"/>
                <w:sz w:val="24"/>
                <w:szCs w:val="24"/>
                <w:u w:val="none"/>
                <w:em w:val="none"/>
                <w:lang w:val="uk-UA" w:eastAsia="en-US" w:bidi="ar-SA"/>
              </w:rPr>
              <w:t>16.08.2023 -  Публікація в Telegram-каналі та на сторінці Головного управління у Facebook “Як повідомити про корупцію”; 08.09.2023 — тренінг “</w:t>
            </w:r>
            <w:r>
              <w:rPr>
                <w:rFonts w:eastAsia="Calibri" w:cs="Times New Roman"/>
                <w:b w:val="false"/>
                <w:bCs w:val="false"/>
                <w:i w:val="false"/>
                <w:strike w:val="false"/>
                <w:dstrike w:val="false"/>
                <w:outline w:val="false"/>
                <w:shadow w:val="false"/>
                <w:color w:val="1C1C1C"/>
                <w:kern w:val="0"/>
                <w:sz w:val="24"/>
                <w:szCs w:val="24"/>
                <w:u w:val="none"/>
                <w:em w:val="none"/>
                <w:lang w:val="uk-UA" w:eastAsia="en-US" w:bidi="ar-SA"/>
              </w:rPr>
              <w:t>Порядок повідомлення про корупцію у Головному управлінні Пенсійного фонду України в Миколаївській області”.</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14</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Захист працівників Фонду та його органів, які повідомляють про вчинення протиправних дій чи бездіяльність інших працівників Фонду та його органів (за наявності підстав)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За звітний період повідомлення не надходили.</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15</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Запобігання несанкціонованому доступу до інформації, у тому числі з обмеженим доступом, яка накопичується, зберігається, обробляється та циркулює на об'єктах інформаційної діяльності Фонду та його органів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 О. І., керівники стуктурних підрозділів Головного управління</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Постійно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З метою запобігання  несанкціонованому доступу до інформації, яка циркулює на об'єктах інформаційної діяльності Фонду та його органів проводиться організаційні та контрольні заходи із захисту інформації: забезпечення на робочих станціях налаштування політик безпеки, моніторинг стану оновлення антивірусних баз даних,проведення планової інвентаризації комп'ютерних програм, перевірка вхідного та вихідного трафіку на робочих станціях та в локальній обчислювальній мережі на можливі факти  віддаленого керування поза межами контрольованої зони та інші. Фактів кібер атак, розповсюдження шкідливого програмного забезпечення, нештатних ситуацій що можуть нести ризики інформаційній безпеці не виявлено</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16</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Взаємодія з правоохоронними органами в межах компетенції</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Лунгул В. В., Погребня О. І.</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Постійно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З метою отримання роз'яснень щодо заповнення декларації та повідомлення про відкриття валютного рахунку в банку нерезиденту, працівники сектору зверталися до контакт центру НАЗК</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Розділ ІІ. Реалізація державної політики з питань пенсійного забезпечення</w:t>
            </w:r>
          </w:p>
        </w:tc>
      </w:tr>
      <w:tr>
        <w:trPr/>
        <w:tc>
          <w:tcPr>
            <w:tcW w:w="358"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17</w:t>
            </w:r>
          </w:p>
        </w:tc>
        <w:tc>
          <w:tcPr>
            <w:tcW w:w="2882"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Стандартизація та оптимізація процедур під час надання послуг у сфері пенсійного</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забезпечення, ведення обліку осіб, які підлягають загальнообов’язковому</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державному соціальному страхуванню в Пенсійного фонду України шляхом</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внесення змін до</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4"/>
                <w:szCs w:val="24"/>
              </w:rPr>
            </w:pPr>
            <w:r>
              <w:rPr>
                <w:rFonts w:eastAsia="Calibri" w:cs="Times New Roman" w:ascii="Times New Roman" w:hAnsi="Times New Roman"/>
                <w:kern w:val="0"/>
                <w:sz w:val="24"/>
                <w:szCs w:val="24"/>
                <w:lang w:eastAsia="en-US" w:bidi="ar-SA"/>
              </w:rPr>
              <w:t>нормативно-правових та розпорядчих актів</w:t>
            </w:r>
          </w:p>
        </w:tc>
        <w:tc>
          <w:tcPr>
            <w:tcW w:w="1141"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Ярошевич О. А.,</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Бондаренко О.В.,</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Кірушов О. В.,</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Водовозова С. Б.,</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Ємельянова О. Л.</w:t>
            </w:r>
          </w:p>
        </w:tc>
        <w:tc>
          <w:tcPr>
            <w:tcW w:w="929"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tc>
        <w:tc>
          <w:tcPr>
            <w:tcW w:w="1080"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op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top w:val="nil"/>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Працівниками управління пенсійного забезпечення Головного управління прийнято до відома та відпрацювання в межах компетенції з додержанням встановлених термінів наказ Головного управління від 15.02.2023 № 100 щодо затвердження Технологічних карток послуг у сфері пенсійного забезпечення, ведення обліку осіб, які підлягають загальнообов’язковому державному соціальному страхуванню, платежів, житлових субсидій та пільг. Спеціалісти управління в своїй роботі керуються, зокрема, схемою взаємодії у сфері пенсійного забезпечення між підрозділами Головного управління (із змінами).</w:t>
            </w:r>
          </w:p>
        </w:tc>
        <w:tc>
          <w:tcPr>
            <w:tcW w:w="1414" w:type="dxa"/>
            <w:tcBorders>
              <w:top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18</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Визначення критеріїв, необхідних для здійснення моніторингу за розглядом повторних звернень та скарг на дії/бездіяльність посадових осіб Фонду та його органів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Ярошевич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eastAsia="Calibri" w:cs="Times New Roman" w:ascii="Times New Roman" w:hAnsi="Times New Roman"/>
                <w:b w:val="false"/>
                <w:bCs w:val="false"/>
                <w:kern w:val="0"/>
                <w:sz w:val="24"/>
                <w:szCs w:val="24"/>
                <w:lang w:eastAsia="en-US" w:bidi="ar-SA"/>
              </w:rPr>
              <w:t xml:space="preserve">Постійно проводиться детальний аналіз повторних звернень на предмет повноти надання відповідей на порушені питання. Протягом звітного періоду до Головного управління надійшло 195 повторних звернень. У порівнянні з аналогічним періодом попереднього року кількість повторних звернень збільшилась на 30 одиниць. Кожен факт повторного звернення громадян глибоко аналізується, з’ясовуються причини таких звернень та вживаються заходи щодо можливого вирішення порушених питань. Найчастіше причиною повторних звернень є виникнення у заявників нових питань, уточнення щодо отриманих відповідей, нерозуміння чинного законодавства. </w:t>
            </w:r>
            <w:r>
              <w:rPr>
                <w:rFonts w:eastAsia="Calibri" w:ascii="Times New Roman" w:hAnsi="Times New Roman"/>
                <w:b w:val="false"/>
                <w:bCs w:val="false"/>
                <w:kern w:val="0"/>
                <w:sz w:val="24"/>
                <w:szCs w:val="24"/>
                <w:lang w:eastAsia="en-US" w:bidi="ar-SA"/>
              </w:rPr>
              <w:t>Протягом другого півріччя 2023 року до Головного управління надійшло 104 повторних звернення. У порівнянні з аналогічним періодом попереднього року кількість повторних звернень зменшено на 31 одиницю. Кожен факт повторного звернення громадян глибоко аналізується, з’ясовуються причини таких звернень та вживаються заходи щодо можливого вирішення порушених питань. Найчастіше причиною повторних звернень є виникнення у заявників нових питань, уточнення щодо отриманих відповідей, нерозуміння чинного законодавства. Станом на 01.01.2024 обґрунтованих звернень та скарг на дії/бездіяльність посадових осіб управління обслуговування громадян не надходило.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19</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моніторингу за розглядом</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повторних звернень та</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скарг на дії/бездіяльність</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посадових осіб Фонду та його органів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 Ярошевич О. А., керівники самостійних 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щокварта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льно</w:t>
            </w:r>
          </w:p>
        </w:tc>
        <w:tc>
          <w:tcPr>
            <w:tcW w:w="1080"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Постійно проводиться детальний аналіз повторних звернень на предмет повноти надання відповідей на порушені питання. </w:t>
            </w:r>
            <w:r>
              <w:rPr>
                <w:rFonts w:ascii="Times New Roman" w:hAnsi="Times New Roman"/>
                <w:sz w:val="24"/>
                <w:szCs w:val="24"/>
              </w:rPr>
              <w:t>На виконання листа Пенсійного фонду України від 23.01.2018 № 2601/05-30 щокварталу, відділом обробки звернень громадян управління адміністративного забезпечення, службовою запискою надається інформація</w:t>
            </w:r>
            <w:r>
              <w:rPr/>
              <w:t xml:space="preserve"> </w:t>
            </w:r>
            <w:r>
              <w:rPr>
                <w:rFonts w:ascii="Times New Roman" w:hAnsi="Times New Roman"/>
                <w:sz w:val="24"/>
                <w:szCs w:val="24"/>
              </w:rPr>
              <w:t>щодо звернень громадян, в яких можливо порушені питання щодо якості надання послуг відділами обслуговування громадян (сервісними центрами). У випадку наявності, такі звернення детально аналізуються та у разі підтвердження приймаються відповідні рішення. Протягом звітного періоду опитано 9078 громадян, яким надані послуги сервісними центрами. За результатами опитування відвідувачів рівень задоволеності якістю обслуговування 100 % позитивний</w:t>
            </w:r>
            <w:r>
              <w:rPr/>
              <w:t xml:space="preserve">. </w:t>
            </w:r>
            <w:r>
              <w:rPr>
                <w:rFonts w:eastAsia="Calibri" w:cs="Times New Roman" w:ascii="Times New Roman" w:hAnsi="Times New Roman"/>
                <w:kern w:val="0"/>
                <w:sz w:val="24"/>
                <w:szCs w:val="24"/>
                <w:lang w:eastAsia="en-US" w:bidi="ar-SA"/>
              </w:rPr>
              <w:t>Повідомлення щодо наявності конфлікту інтересів у працівників управління обслуговування громадян відсутні.</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w:t>
            </w:r>
            <w:r>
              <w:rPr>
                <w:rFonts w:eastAsia="Calibri" w:cs="Times New Roman" w:ascii="Times New Roman" w:hAnsi="Times New Roman"/>
                <w:kern w:val="0"/>
                <w:sz w:val="24"/>
                <w:szCs w:val="24"/>
                <w:lang w:eastAsia="en-US" w:bidi="ar-SA"/>
              </w:rPr>
              <w:t xml:space="preserve">Сектором з питань запобігання та виявлення корупції проведено перевірку - 18 повторних звернень та скарг що надійшли до Головного управління за період з 01.01.2023 по 01.04.2023. Службова записка від 03.04.2023 № 47/14-16; з 01.10.2023 по 01.12.2023 надійшло 86 скарг, повторних звернень та скарг – 38  службова записка від 04.12.2023 № 199/14-16 </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порушень антикорупційного законодавства з боку працівників Головного управління під час перевірки, та прийняття рішень в умовах реального конфлікту інтересів у зв’язку з розглядом повторних звернень, якими оскаржується діяльність посадових осіб Головного управління не встановлено.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20</w:t>
            </w:r>
          </w:p>
        </w:tc>
        <w:tc>
          <w:tcPr>
            <w:tcW w:w="2882"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Впровадження моніторингу з використанням інтегрованої комплексної</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інформаційної системи</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Пенсійного фонду України (далі — ІКІС ПФУ) щодо нарахування сум пенсій за визначеними ризик-орієнтованими критеріями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Ярошевич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Кірушов О. В.,</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Водовозова С. Б.</w:t>
            </w:r>
          </w:p>
        </w:tc>
        <w:tc>
          <w:tcPr>
            <w:tcW w:w="929"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щокварта</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льно</w:t>
            </w:r>
          </w:p>
        </w:tc>
        <w:tc>
          <w:tcPr>
            <w:tcW w:w="1080"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cs="Times New Roman" w:ascii="Times New Roman" w:hAnsi="Times New Roman"/>
                <w:b w:val="false"/>
                <w:bCs w:val="false"/>
                <w:sz w:val="24"/>
                <w:szCs w:val="24"/>
              </w:rPr>
              <w:t xml:space="preserve">Інформацію по проблемних питаннях та ризиках у діяльності підрозділів Управління надано службовими записками від 15.11.2022 № 6098/03-16 та від 14.11.2023 № 17335/03-16 до відділу внутрішнього аудиту; положенням про Управління (із змінами) визначено одними із напрямків діяльності - здійснення моніторингу працюючих пенсіонерів, ініціювання проведення перевірок обгрунтованості видачі документів, поданих для призначення та перерахунку пенсій, та достовірності відомостей про осіб, які підлягають загальнообов’язковому державному пенсійному страхуванню; одночасно, в умовах централізації процесів призначення/перерахунку пенсій повноваження щодо ініціювання перевірок підстав видачі документів, доданих до відповідних заяв, надані спеціалістам тих Головних управлінь Пенсійного фонду України, що безпосередньо опрацьовують заяви в умовах централізації в порядку єдиної черги (запити до управлінь контрольно-перевірочної роботи щодо перевірки підстав видачі довідок про заробітну плату формуються автоматизованим способом), результати перевірок, одержані від Головних управлінь інших областей, що надходять через ЕДО, своєчасно передаються до відпрацювання відділам перерахунків пенсій № 1 та № 2 Управління за місцем реєстрації одержувачів пенсій; </w:t>
            </w:r>
            <w:r>
              <w:rPr>
                <w:rFonts w:ascii="Times New Roman" w:hAnsi="Times New Roman"/>
                <w:b w:val="false"/>
                <w:bCs w:val="false"/>
                <w:sz w:val="24"/>
                <w:szCs w:val="24"/>
              </w:rPr>
              <w:t xml:space="preserve">в ІІ півріччі 2023 року відділом методології та організації роботи із застосування пенсійного законодавства Управління на виконання плану роботи Управління забезпечено проведення тематичної перевірки матеріалів пенсійних справ осіб, які протягом І-ІІ кварталу 2023 року звернулись з заявами про перерахунок </w:t>
            </w:r>
            <w:r>
              <w:rPr>
                <w:rFonts w:cs="Times New Roman" w:ascii="Times New Roman" w:hAnsi="Times New Roman"/>
                <w:b w:val="false"/>
                <w:bCs w:val="false"/>
                <w:sz w:val="24"/>
                <w:szCs w:val="24"/>
              </w:rPr>
              <w:t>пенсійної виплати з урахуванням довідок про заробітну плату в частині наявності актів перевірки підстав видачі довідки, порядку доопрацювання відділами перерахунків № 1 та № 2 пенсійних справ з урахуванням довідок про заробітну плату, обгрунтованість яких підтверджено; для забезпечення контролю за станом опрацювання цього напрямку роботи за зверненнями, зареєстрованими в області у ІІ півріччі 2023 року. Управлінням планується здійснення аналогічного заходу - тематичної перевірки на І піврічча 2024 року.</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21</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Розробка та затвердження порядку взаємодії підрозділів територіальних органів Фонду під час виконання рішень суду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Ярошевич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Наказом Головного управління від 04 червня 2019 року № 199 “Про затвердження Порядку взаємодії спеціалістів юридичного управління та інших структурних підрозділів Головного управління” урегульовано порядок взаємодії підрозділів Головного управління з юридичною службою щодо виконання рішень суду. Здійснюється інформаційне наповнення підсистеми “реєстр судових рішень” ІКІС ПФУ відомостями про рішення суду; виконання рішень суду, що набрали законної сили. Виконуються в межах покладених судом зобов’язань з повідомленням заявника.</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Взято до уваги норми “Порядку дій щодо організації взаємодії структурних підрозділів Головного управління Пенсійного фонду України в Миколаївській області під час виконання рішень судів на період дії військового часу”, затвердженого наказом Головного управління від 18.10.2022 № 414, в редакції наказу від 14.12.2022 № 530.</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22</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Розробка пропозицій щодо нормативно правового врегулювання порядку та черговості виплати заборгованості за рішеннями суду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Ярошевич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Кірушов О. 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Водовозова С. Б.,</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31.03.2022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31.03.</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Нормативно-правове врегулювання порядку та черговості виплати заборгованості за рішенням суду, здійснюється відповідно до нового модуля “Протокол рішень про черговість виплат” Реєстру судових рішень ІКІС ПФУ, який встановлений релізом від 14.11.2021 № 16-71-1. Рішення суду, що набрали законної сили, виконуються межах покладених судом зобов’язань, з дотриманням Порядку дій щодо організації взаємодії структурних підрозділів Головного управління Пенсійного фонду України в Миколаївській області під час виконання рішень судів на період дії військового стану, затвердженого наказом Головного управління від 18.10.2022 № 414, з повідомленням заявника в про добровільне виконання рішення суду. Рішення суду, що набрали законної сили, виконуються Управлінням в межах покладених судом зобов’язань, з повідомленням заявника про добровільне виконання рішення суду, за 2023 рік Управлінням виконано 9407 рішень суду, в тому числі щодо пенсійного забезпечення осіб, що зареєстровані за межами Миколаївської області; відповідно до наказу Головного управління від 17.01.2023 № 27 внесено зміни до Порядку дій щодо взаємодії структурних підрозділів Головного управління Пенсійного фонду України в Миколаївській області під час виконання рішень судів на період дії військового часу від 18.10.2022 № 414 (в редакції наказу від 28.08.2023 № 630), який спеціалістами Управління прийнято до відома та відпрацювання в межах компетенції з додержанням встановлених термінів; здійснено контроль за правильністю виконання 323 рішень суду.</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b/>
                <w:b/>
                <w:sz w:val="28"/>
                <w:szCs w:val="28"/>
              </w:rPr>
            </w:pPr>
            <w:r>
              <w:rPr>
                <w:rFonts w:eastAsia="Calibri" w:ascii="Times New Roman" w:hAnsi="Times New Roman"/>
                <w:b/>
                <w:kern w:val="0"/>
                <w:sz w:val="28"/>
                <w:szCs w:val="28"/>
                <w:lang w:eastAsia="en-US" w:bidi="ar-SA"/>
              </w:rPr>
              <w:t>Розділ ІІІ. Правова робота</w:t>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23</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та використання зразків викладення правової позиції Фонду та його органів у справах, що мають однаковий предмет спору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 керівники</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 – 2023 років</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Ю</w:t>
            </w:r>
            <w:r>
              <w:rPr>
                <w:rFonts w:cs="Times New Roman" w:ascii="Times New Roman" w:hAnsi="Times New Roman"/>
                <w:b w:val="false"/>
                <w:bCs w:val="false"/>
                <w:sz w:val="24"/>
                <w:szCs w:val="24"/>
              </w:rPr>
              <w:t xml:space="preserve">ридичним управлінням  </w:t>
            </w:r>
            <w:r>
              <w:rPr>
                <w:rFonts w:ascii="Times New Roman" w:hAnsi="Times New Roman"/>
                <w:b w:val="false"/>
                <w:bCs w:val="false"/>
                <w:sz w:val="24"/>
                <w:szCs w:val="24"/>
              </w:rPr>
              <w:t>використовується зразок викладення правової позиції у справах, щодо разової грошової виплати до Дня Незалежності України в розмірах, передбачених Законом України “Про статус ветеранів війни, гарантії їх соціального захисту” наданий листом від 02.10.2023 №1250/16 та забезпечено його доведення до відома працівників, що здійснюють представлення інтересів Головного управління в судах.</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24</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w:t>
            </w:r>
            <w:r>
              <w:rPr>
                <w:rFonts w:eastAsia="Calibri" w:cs="Times New Roman" w:ascii="Times New Roman" w:hAnsi="Times New Roman"/>
                <w:kern w:val="0"/>
                <w:sz w:val="24"/>
                <w:szCs w:val="24"/>
                <w:lang w:eastAsia="en-US" w:bidi="ar-SA"/>
              </w:rPr>
              <w:t>Підвищення кваліфікації посадових осіб, які виконують повноваження представництва інтересів Фонду та його органів у судах</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Білявська К. А.</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згідно з окремим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графіком</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Працівниками юридичного управління забезпечено підвищення кваліфікації шляхом самоосвіти на Національній онлайн платформі Дія. Цифрова освіта та підвищення кваліфікації на базі Сумського державного університету та Чорноморського національного університету імені Петра Могили. За результатами навчань отримано сертифікати.</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25</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w:t>
            </w:r>
            <w:r>
              <w:rPr>
                <w:rFonts w:eastAsia="Calibri" w:cs="Times New Roman" w:ascii="Times New Roman" w:hAnsi="Times New Roman"/>
                <w:kern w:val="0"/>
                <w:sz w:val="24"/>
                <w:szCs w:val="24"/>
                <w:lang w:eastAsia="en-US" w:bidi="ar-SA"/>
              </w:rPr>
              <w:t>Проведення тематичних перевірок якості представництва інтересів у судах, у разі виявлення порушень – вжиття заходів реагування згідно з чинним законодавством</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згідно з окремим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планом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перевірок</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В жовтні 2023 року проведено перевірки відділу представництва інтересів в судах та інших органах юридичного управління. За результатами перевірки складено довідку про проведення планової тематичної перевірки відділу представництва інтересів в судах та інших органах юридичного управління Головного управління Пенсійного фонду України в Миколаївській області від 27.10.2023 № 10725/08-16.</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26</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Підготовка оглядів судової правової практики за участю органів Фонду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 але не</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рідше ніж двічі на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рік</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Ю</w:t>
            </w:r>
            <w:r>
              <w:rPr>
                <w:rFonts w:cs="Times New Roman" w:ascii="Times New Roman" w:hAnsi="Times New Roman"/>
                <w:b w:val="false"/>
                <w:bCs w:val="false"/>
                <w:sz w:val="24"/>
                <w:szCs w:val="24"/>
              </w:rPr>
              <w:t>ридичним управлінням з метою належного представлення інтересів Головного управління в судах, проводиться постійний моніторинг судової практики по аналогічним категоріям справ, а також по справах, де стороною виступає Головне управління. За результатами моніторингу підготовлено та направлено огляди судової практики (лист від 03.07.2023 № 5725/08-16 та лист від 28.12.2023 № 13520/08-16).</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27</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автоматизованого визначення зацікавлених структурних підрозділів для погодження рішення, прийнятого за результатами розгляду скарги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Ярошевич О. А.,</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керівники 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Не 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Станом на 31.12.2021 не впроваджено</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автоматичне визначення зацікавлених структурних підрозділів для погодження рішення прийнятого за результатами розгляду скарги.</w:t>
            </w:r>
          </w:p>
        </w:tc>
      </w:tr>
      <w:tr>
        <w:trPr>
          <w:trHeight w:val="1978" w:hRule="atLeast"/>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28</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Врегулювання ведення автоматизованого обліку справ за участю Фонду в судах, виконавчих проваджень шляхом внесення змін до Положення про організацію правової роботи в Пенсійному фонді України, затвердженого постановою правління Фонду від 08 жовтня 2004 року № 13-1 (із змінами)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31.06.2022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31.06.</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Наказом Головного управління від 18.08.2022№ 311 «Про внесення змін до Положення про юридичне управління» Положення про юридичне управління викладено у новій редакції та приведено у відповідність до Положення про організацію правової роботи в Пенсійному фонді України та його територіальних органах, затверджених постановою правління Пенсійного фонду України від 08.08.2022 № 14-1.</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29</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Запровадження моніторингу стану оскарження рішень суду органами Фонду за наявності підстав для такого оскарження з використанням автоматизованих засобів обробки інформації у підсистемі “Правова робота” ІКІС Фонду (за відсутні ознаки типової справи відносно зразкової справи, розглянутої Верховним Судом; за відсутності правової позиції Верховного Суду щодо правозастосування; при умові, що видатки на сплату судового збору не перевищують видатків, пов’язаних з виконанням судового рішення)</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щопівроку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На виконання наказу Головного управління від 30.04.2021 № 334 «Про забезпечення контролю за станом обробки інформації в підсистемах «Реєстр судових рішень» та «Правова робота», проводиться постійний моніторинг стану оскарження рішень суду за наявності підстав для такого оскарження з використанням автоматизованих засобів обробки інформації у підсистему «Правова робота» ІКІС Пенсійного фонду України. За результатами моніторингу складено доповідну записку від 25.05.2023 № 4086/08-16 та від 19.09.2023 № 8958/08-16, від 20.12.2023 № 13239/08-16, проведено технавчання зі спеціалістами.</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30</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Організація та проведення внутрішнього навчального заходу щодо</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здійснення моніторингу стану оскарження рішень суду органами Фонду з використанням автоматизованих засобів обробки інформації у підсистемі “Правова робота” ІКІС Фонду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згідно окремого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графіку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 xml:space="preserve">Відповідно до </w:t>
            </w:r>
            <w:r>
              <w:rPr>
                <w:rFonts w:cs="Times New Roman" w:ascii="Times New Roman" w:hAnsi="Times New Roman"/>
                <w:b w:val="false"/>
                <w:bCs w:val="false"/>
                <w:sz w:val="24"/>
                <w:szCs w:val="24"/>
              </w:rPr>
              <w:t>наказу Головного управління від 30.04.2021 № 334 «Про забезпечення контролю за станом обробки інформації в підсистемах «Реєстр судових рішень» та «Правова робота», проводиться постійний моніторинг стану оскарження рішень суду за наявності підстав для такого оскарження з використанням автоматизованих засобів обробки інформації у підсистему «Правова робота» ІКІС Пенсійного фонду України. За результатами моніторингу складено доповідну записку від 25.05.2023 № 4086/08-16 та проведено технавчання зі спеціалістами в режимі ZOOM конференції</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31</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Здійснення періодичного аналізу результатів автоматизованого моніторингу, у разі виявлення порушень – вжиття заходів реагування згідно з чинним законодавством</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П</w:t>
            </w:r>
            <w:r>
              <w:rPr>
                <w:rFonts w:cs="Times New Roman" w:ascii="Times New Roman" w:hAnsi="Times New Roman"/>
                <w:b w:val="false"/>
                <w:bCs w:val="false"/>
                <w:sz w:val="24"/>
                <w:szCs w:val="24"/>
              </w:rPr>
              <w:t>роводиться постійний моніторинг стану оскарження рішень суду за наявності підстав для такого оскарження з використанням автоматизованих засобів обробки інформації у підсистему «Правова робота» ІКІС Пенсійного фонду України. За результатами моніторингу складено доповідні записки від 25.05.2023 № 4086/08-16; від 19.09.2023 № 8958/08-16; від 20.12.2023 № 13239/08-16.</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b/>
                <w:b/>
                <w:sz w:val="28"/>
                <w:szCs w:val="28"/>
              </w:rPr>
            </w:pPr>
            <w:r>
              <w:rPr>
                <w:rFonts w:eastAsia="Calibri" w:ascii="Times New Roman" w:hAnsi="Times New Roman"/>
                <w:b/>
                <w:kern w:val="0"/>
                <w:sz w:val="28"/>
                <w:szCs w:val="28"/>
                <w:lang w:eastAsia="en-US" w:bidi="ar-SA"/>
              </w:rPr>
              <w:t xml:space="preserve">Розділ </w:t>
            </w:r>
            <w:r>
              <w:rPr>
                <w:rFonts w:eastAsia="Calibri" w:ascii="Times New Roman" w:hAnsi="Times New Roman"/>
                <w:b/>
                <w:kern w:val="0"/>
                <w:sz w:val="28"/>
                <w:szCs w:val="28"/>
                <w:lang w:val="en-US" w:eastAsia="en-US" w:bidi="ar-SA"/>
              </w:rPr>
              <w:t xml:space="preserve">IV. </w:t>
            </w:r>
            <w:r>
              <w:rPr>
                <w:rFonts w:eastAsia="Calibri" w:ascii="Times New Roman" w:hAnsi="Times New Roman"/>
                <w:b/>
                <w:kern w:val="0"/>
                <w:sz w:val="28"/>
                <w:szCs w:val="28"/>
                <w:lang w:eastAsia="en-US" w:bidi="ar-SA"/>
              </w:rPr>
              <w:t>Фінансово-економічне забезпечення</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32</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Формування ризик орієнтованих критеріїв для здійснення автоматизованого моніторингу видатків</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бюджету Фонду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 Ярошевич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Кірушов О. 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Водовозова С. Б.</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31.10.2022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31.10.</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Взяття зобов’язань за видатками на фінансування адміністративних витрат, пов’язаних з виконанням функцій, покладених на органи Пенсійного фонду України, здійснювалось в межах доведених бюджетних асигнувань згідно</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Постанови Кабінету Міністрів України від 14.10.2022 №1167  «Про затвердження бюджету Пенсійного фонду України». В підсистемі «Альфа. Бухгалтерія» щоденно, по кожному КЕКВ, на підставі банківської виписки ведеться картка аналітичного обліку виділених асигнувань, відповідно наказу Міністерства фінансів України від 29.11.2017 № 604. Інформація про використання коштів щоквартально до 05 числа наступного за звітним розміщується на Веб порталі «Є-Дата» в розрізі контрагента по кожному взятому зобов’язанню.</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33</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та використання автоматизованого моніторингу видатків</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бюджету Фонду  на виплату пенсій</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 Ярошевич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Кірушов О. 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Водовозова С. Б.</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Автоматизований моніторинг видатків Головного управління здійснювався згідно доведеного «Плану доходів і видатків Головного управління Пенсійного фонду України в Миколаївській області», затвердженого 19.10.2022 року, та «Змін до Плану доходів і видатків Головного управління Пенсійного фонду України в Миколаївській області на 2022 рік» (з урахуванням Постанови КМУ від 02 грудня 2022 року № 1347). В програмному комплексі S01a (форма 39), на підставі форми 2а, щомісяця ведеться облік видатків на виплату пенсій помісячно та наростаючим підсумком з початку року. Щоквартально у програмному комплексі А01А (форма 2 ПФ та додаток 4) обліковуються видатки на виплату пенсій та направляються до Пенсійного фонду України у встановлений термін.</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34</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Надання письмових пропозицій із зазначенням обґрунтування щодо результатів діяльності працівників для встановлення та виплати премій (підвищення/зменшення розміру)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 (перед</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прийняттям рішення щодо встановлення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премій)</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 xml:space="preserve">Встановлення та виплата премій працівникам здійснюється відповідно до Положення про преміювання у Головному управлінні Пенсійного фонду України в Миколаївській області, затвердженого наказом від 16.08.2021 № 615 (зі змінами), враховуючи особистий внесок фахівців в загальний результат роботи Фонду, на підставі </w:t>
            </w:r>
            <w:r>
              <w:rPr>
                <w:rFonts w:eastAsia="Calibri" w:cs="Times New Roman" w:ascii="Times New Roman" w:hAnsi="Times New Roman"/>
                <w:b w:val="false"/>
                <w:bCs w:val="false"/>
                <w:kern w:val="0"/>
                <w:sz w:val="24"/>
                <w:szCs w:val="24"/>
                <w:lang w:eastAsia="en-US" w:bidi="ar-SA"/>
              </w:rPr>
              <w:t>обґрунтованих</w:t>
            </w:r>
            <w:r>
              <w:rPr>
                <w:rFonts w:eastAsia="Calibri" w:cs="Times New Roman" w:ascii="Times New Roman" w:hAnsi="Times New Roman"/>
                <w:b w:val="false"/>
                <w:bCs w:val="false"/>
                <w:kern w:val="0"/>
                <w:sz w:val="24"/>
                <w:szCs w:val="24"/>
                <w:lang w:eastAsia="en-US" w:bidi="ar-SA"/>
              </w:rPr>
              <w:t xml:space="preserve"> пропозицій від керівників структурних підрозділів, які надаються щомісячно відповідно до наказу Головного управління Пенсійного фонду України від 31.01.2022 № 77 (зі змінами).</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35</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моніторингу стану погашення заборгованості, застосування фінансових санкцій та охоплення заборгованості заходами стягнення</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Сугак Т.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Застосування фінансових санкцій перебуває на постійному контролі. За даними «Журналу реєстрації рішень про застосування фінансових санкцій» за 2021 рік прийнято 20 рішень про застосування фінансових санкцій та нарахування пені, сума нарахованих фінансових санкцій та пені склала 318401,09 грн. Формування розрахунків сум фінансових санкцій здійснюється щомісяця на підставі даних карток особових рахунків платника та разом з проєктами рішень про засновування фінансових санкцій та нарахування пені передаються до юридичного управління для перевірки на відповідність законодавству. Здійснюється контроль за станом відшкодування нарахованих сум штрафів та пені. Для вжиття заходів щодо примусового стягнення своєчасно не сплачених коштів оперативно передаються матеріали до відділу представництва інтересів в судах та іншим органам. Юридичним управлінням, в межах наданих повноважень, здійснюється моніторинг стану погашення заборгованості та охоплення заборгованості заходами стягнення шляхом пред’явлення позовних заяв про стягнення заборгованості та проведення взаємозвірок виконавчих документів за рішеннями про стягнення коштів на користь Головного управління з органами державної виконавчої служби.</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36</w:t>
            </w:r>
          </w:p>
        </w:tc>
        <w:tc>
          <w:tcPr>
            <w:tcW w:w="2882"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Перегляд та оновлення набору даних електронного обміну інформацією з Державною податковою службою України в частині актуальності системи оподаткування платників єдиного податку 4 групи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 Клименко О. П.</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 xml:space="preserve">В Головному управлінні розроблено та затверджено наказ від 20.03.2020 № 134 </w:t>
            </w:r>
            <w:r>
              <w:rPr>
                <w:rFonts w:eastAsia="Calibri" w:cs="Times New Roman" w:ascii="Times New Roman" w:hAnsi="Times New Roman"/>
                <w:b w:val="false"/>
                <w:bCs w:val="false"/>
                <w:kern w:val="0"/>
                <w:sz w:val="24"/>
                <w:szCs w:val="24"/>
                <w:lang w:val="ru-RU" w:eastAsia="en-US" w:bidi="ar-SA"/>
              </w:rPr>
              <w:t>“</w:t>
            </w:r>
            <w:r>
              <w:rPr>
                <w:rFonts w:eastAsia="Calibri" w:cs="Times New Roman" w:ascii="Times New Roman" w:hAnsi="Times New Roman"/>
                <w:b w:val="false"/>
                <w:bCs w:val="false"/>
                <w:kern w:val="0"/>
                <w:sz w:val="24"/>
                <w:szCs w:val="24"/>
                <w:lang w:eastAsia="en-US" w:bidi="ar-SA"/>
              </w:rPr>
              <w:t>Про затвердження Алгоритму дій щодо виставлення платникам розрахунків фактичних витрат на виплату та доставку пенсій призначених на пільгових умовах</w:t>
            </w:r>
            <w:r>
              <w:rPr>
                <w:rFonts w:eastAsia="Calibri" w:cs="Times New Roman" w:ascii="Times New Roman" w:hAnsi="Times New Roman"/>
                <w:b w:val="false"/>
                <w:bCs w:val="false"/>
                <w:kern w:val="0"/>
                <w:sz w:val="24"/>
                <w:szCs w:val="24"/>
                <w:lang w:val="ru-RU" w:eastAsia="en-US" w:bidi="ar-SA"/>
              </w:rPr>
              <w:t>”</w:t>
            </w:r>
            <w:r>
              <w:rPr>
                <w:rFonts w:eastAsia="Calibri" w:cs="Times New Roman" w:ascii="Times New Roman" w:hAnsi="Times New Roman"/>
                <w:b w:val="false"/>
                <w:bCs w:val="false"/>
                <w:kern w:val="0"/>
                <w:sz w:val="24"/>
                <w:szCs w:val="24"/>
                <w:lang w:eastAsia="en-US" w:bidi="ar-SA"/>
              </w:rPr>
              <w:t xml:space="preserve"> (зі змінами), яким визначено механізм взаємодії структурних підрозділів та спеціалістів Головного управління з даного питання. На початку року перевіряється наявність підстав зі звільнення платників Миколаївської області від сплати фактичних витрат на виплату і доставку пенсій, призначених на пільгових умовах, у період до досягнення особами пенсійного віку, відповідно до вимог статті 2 Закону України від 26.06.1997</w:t>
            </w:r>
            <w:r>
              <w:rPr>
                <w:rFonts w:eastAsia="Calibri" w:cs="Times New Roman" w:ascii="Times New Roman" w:hAnsi="Times New Roman"/>
                <w:b/>
                <w:kern w:val="0"/>
                <w:sz w:val="24"/>
                <w:szCs w:val="24"/>
                <w:lang w:eastAsia="en-US" w:bidi="ar-SA"/>
              </w:rPr>
              <w:t xml:space="preserve"> </w:t>
            </w:r>
            <w:r>
              <w:rPr>
                <w:rFonts w:eastAsia="Calibri" w:cs="Times New Roman" w:ascii="Times New Roman" w:hAnsi="Times New Roman"/>
                <w:b w:val="false"/>
                <w:bCs w:val="false"/>
                <w:kern w:val="0"/>
                <w:sz w:val="24"/>
                <w:szCs w:val="24"/>
                <w:lang w:eastAsia="en-US" w:bidi="ar-SA"/>
              </w:rPr>
              <w:t>№ 400/97- ВР “Про збір на обов’язкове державне пенсійне страхування”.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b/>
                <w:b/>
                <w:sz w:val="28"/>
                <w:szCs w:val="28"/>
              </w:rPr>
            </w:pPr>
            <w:r>
              <w:rPr>
                <w:rFonts w:eastAsia="Calibri" w:ascii="Times New Roman" w:hAnsi="Times New Roman"/>
                <w:b/>
                <w:kern w:val="0"/>
                <w:sz w:val="28"/>
                <w:szCs w:val="28"/>
                <w:lang w:eastAsia="en-US" w:bidi="ar-SA"/>
              </w:rPr>
              <w:t xml:space="preserve">Розділ </w:t>
            </w:r>
            <w:r>
              <w:rPr>
                <w:rFonts w:eastAsia="Calibri" w:ascii="Times New Roman" w:hAnsi="Times New Roman"/>
                <w:b/>
                <w:kern w:val="0"/>
                <w:sz w:val="28"/>
                <w:szCs w:val="28"/>
                <w:lang w:val="en-US" w:eastAsia="en-US" w:bidi="ar-SA"/>
              </w:rPr>
              <w:t xml:space="preserve">V. </w:t>
            </w:r>
            <w:r>
              <w:rPr>
                <w:rFonts w:eastAsia="Calibri" w:ascii="Times New Roman" w:hAnsi="Times New Roman"/>
                <w:b/>
                <w:kern w:val="0"/>
                <w:sz w:val="28"/>
                <w:szCs w:val="28"/>
                <w:lang w:eastAsia="en-US" w:bidi="ar-SA"/>
              </w:rPr>
              <w:t>Цифровий розвиток, цифрова трансформація і цифровізація</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37</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 інформаційних кампаній</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щодо порядку надання Головним управління послуг громадянам</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Боденко В. М.</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31.12.2023</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Протягом 2023 року забезпечувалось висвітлення інформації з питань діяльності Головного управління на сторінках Фонду області в соціальних мережах (Facebook, Twitter, YouTube) та веб ресурсах Миколаївщини,  розміщено 3114 інформаційних матеріалів, проведено 31 засідання “круглого столу”, 200 публікацій у друкованих виданнях. Надано 29 коментарів на телебаченні та  на радіо. Проведено 847 інформаційних заходи та розповсюджено 13000 буклетів.</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38</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системи критеріїв, за якими оцінюється розроблене програмне забезпечення, а також плану заходів щодо тестування розробленого програмного забезпечення</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 Ємельянова О. Л.,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Не 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Станом на 31.12.2022 не впроваджено систему критеріїв та оцінку відповідності розробленого програмного забезпечення</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39</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Перегляд та розширення набору даних електронного обміну інформацією з Державною службою України з питань</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праці та Державною податковою службою України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 Галинтовська О. О., Клименко О. П., Ємельянова О. Л.</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30.06.2023</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30.06.</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Забезпечено своєчасне здійснення заходів щодо обміну із зацікавленими органами відомостями, що містять ознаки використання праці неоформлених працівників та порушень законодавства про працю. Потреба в розширенні набору електронного обміну інформацією відсутня.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40</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Удосконалення механізму автоматизованого контролю даних реєстру застрахованих осіб</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Державного реєстру загальнообов’язкового державного соціального страхування з використанням даних із зовнішніх джерел в частині фіксації та аналізу всіх дій користувачів реєстру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 Ємельянова О. Л.,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30.06.2023</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30.06.</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Використання даних із зовнішніх джерел під час автоматизованого контролю даних реєстру застрахованих осіб Державного реєстру загальнообов’язкового державного соціального страхування забезпечено засобами підсистем ІКІС ПФУ</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41</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переліку ризико-орієнтованих критеріїв відбору операцій користувачів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 Ємельянова О. Л.,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 потреби)</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Розроблено перелік ризико-орієнтованих критеріїв відбору операцій користувачів.</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42</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w:t>
            </w:r>
            <w:r>
              <w:rPr>
                <w:rFonts w:eastAsia="Calibri" w:cs="Times New Roman" w:ascii="Times New Roman" w:hAnsi="Times New Roman"/>
                <w:kern w:val="0"/>
                <w:sz w:val="24"/>
                <w:szCs w:val="24"/>
                <w:lang w:eastAsia="en-US" w:bidi="ar-SA"/>
              </w:rPr>
              <w:t>Проведення вибіркових перевірок дій користувачів апарату Фонду та його органів  шляхом перегляду журналу операцій користувачів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 Ємельянова О. Л.,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щороку,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відповідно до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окремого плану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Вибірковими перевірками дій користувачів Головного управління шляхом перегляду журналу операцій користувачів, проведених на майданчиках Головного управління в Баштанському, Миколаївському, Вознесенському, Первомайському районах, викривлення інформації (спотворення, блокування, зміна, знищення) не виявлено.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43</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 вибіркової перевірки переліку користувачів, у яких наявні права доступу, що передбачають можливість</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внесення змін у прикладні системи ІКІС Фонду або їх візування, за відсутності відповідних обґрунтувань щодо надання таких прав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 Ємельянова О. Л.</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відповідно до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окремого плану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Проведено вибіркові перевірки переліку користувачів щодо наявності прав доступу до підсистем ІКІС, що передбачають можливість внесення змін з погляду на відсутність відповідних обґрунтувань щодо надання таких прав. Перевірками охоплено працівників Головного управління на майданчиках Баштанського, Вознесенського, Миколаївського, Первомайського  районах. Порушень не виявлено.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 xml:space="preserve">Розділ </w:t>
            </w:r>
            <w:r>
              <w:rPr>
                <w:rFonts w:eastAsia="Calibri" w:cs="Times New Roman" w:ascii="Times New Roman" w:hAnsi="Times New Roman"/>
                <w:b/>
                <w:kern w:val="0"/>
                <w:sz w:val="28"/>
                <w:szCs w:val="28"/>
                <w:lang w:val="en-US" w:eastAsia="en-US" w:bidi="ar-SA"/>
              </w:rPr>
              <w:t xml:space="preserve">VI. </w:t>
            </w:r>
            <w:r>
              <w:rPr>
                <w:rFonts w:eastAsia="Calibri" w:cs="Times New Roman" w:ascii="Times New Roman" w:hAnsi="Times New Roman"/>
                <w:b/>
                <w:kern w:val="0"/>
                <w:sz w:val="28"/>
                <w:szCs w:val="28"/>
                <w:lang w:eastAsia="en-US" w:bidi="ar-SA"/>
              </w:rPr>
              <w:t>Управління персоналом</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44</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Встановлення контролю за розробленням пропозицій до умов проведення конкурсу на підставі посадових інструкцій працівників та положень про структурні підрозділи із зазначенням кваліфікаційних вимог, які відповідають функціональним повноваженням на відповідній посаді, шляхом погодження їх зі службою управління персоналом та заступником Голови правління Фонду</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 xml:space="preserve"> відповідно до розподілу обов’язків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Білявська К. А.,</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(під час формування умов конкурсу)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Під час формування умов конкурсу здійснюється контроль за розробленням пропозицій до умов проведення конкурсу на підставі посадових інструкцій працівників та положень про структурні підрозділи із зазначенням кваліфікаційних вимог, які відповідають функціональним повноваженням на відповідній посаді, шляхом погодження їх з управлінням по роботі з персоналом та заступником начальника Головного управління відповідно до розподілу обов’язків. Водночас зазначаємо, що у період дії воєнного стану особи призначаються на посади державної служби без конкурсного відбору відповідно до Закону України від 12.05.2022 № 2259-ІХ “Про внесення змін до деяких законів України щодо функціонування державної служби та місцевого самоврядування у період дії воєнного стану”.</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45</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та затвердження Типової структури територіальних органів Фонду, яка визначає єдиний підхід до визначення структури та штатного розпису, у тому числі підстави для внесення змін до них</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Білявська К. А.,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28.02.2022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28.02.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Не 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Станом на 28.02.2022  Типова структура територіальних органів Фонду не затверджена.</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46</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Погодження із службою управління персоналом подань про висунення кандидатур від трудових колективів з метою здійснення контролю за дотриманням порядку документального</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оформлення рішень, повноти зазначення заслуг працівника, що стали підставою для порушення</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клопотання про нагородження</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Білявська К. А.,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(під час надходження подань)</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Запроваджено погодження з управлінням по роботі з персоналом подань про висунення кандидатур від трудових колективів з метою здійснення контролю за дотриманням порядку документального оформлення рішень, повноти зазначення заслуг працівника, що стали підставою для порушення клопотання про нагородження.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47</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пам’ятки про персональну відповідальність за порушення антикорупційного законодавства та обов’язок запобігати виникненню конфлікту інтересів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 Білявська К. А.</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Розроблено пам’ятку про персональну відповідальність за порушення антикорупційного законодавства та обов’язок запобігати виникненню конфлікту інтересів. Службовою запискою від 29.12.2021 № 124/13-16 пам’ятку направлено до управління по роботі з персоналом.</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48</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Ознайомлення під особистий підпис членів дисциплінарної комісії із пам’яткою про персональну відповідальність за порушення антикорупційного законодавства та обов’язок запобігати виникненню конфлікту інтересів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Білявська К.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(до початку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першого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засідання)</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Засідання дисциплінарної комісії протягом І півріччя 2023 року не проводилось.</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27 листопада 2023 року забезпечено ознайомлення членів дисциплінарної комісії із пам'яткою про персональну відповідальність за порушення антикорупційного законодавства та обов'язок запобігати виникненню конфлікту інтересів перед проведенням першого засідання дисциплінарної комісії.</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49</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та поширення серед членів дисциплінарної комісії довідкових матеріалів (інфографіки) щодо процедури (алгоритму)  повідомлення про наявність у них конфлікту інтересів, його врегулювання із наведенням прикладів ситуацій виникнення потенційного чи реального конфлікту інтересів</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 Білявська К. А.</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31.03.2022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31.03.</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Службовою запискою від 11.04.2022 № 18/14-16 направлено до управління по роботі з персоналом розроблені додаткові матеріали (інфографіку) щодо алгоритму повідомлення про наявність конфлікту інтересів, його врегулювання із наведенням прикладів ситуацій виникнення потенційного чи реального конфлікту інтересів  у членів дисциплінарної комісії.</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50</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та прийняття внутрішньої процедури (алгоритму) врегулювання конфлікту інтересів, що виник у діяльності членів дисциплінарної комісії під час підготовки, розгляду та прийняття рішень</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Білявська К.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01.07.2022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01.07.</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Розроблено Алгоритм врегулювання конфлікту інтересів, що виник у діяльності членів дисциплінарної комісії Головного управління Пенсійного фонду України в Миколаївській області під час підготовки, розгляду та прийняття рішень. Службовою запискою від 08.06.2022 № 28/14-16 матеріали направлені до управління по роботі з персоналом.</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51</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вибіркового моніторингу обґрунтованості висновків, складених за результатами щорічного оцінювання</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Сектор з питань запобігання та виявлення корупції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щороку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(під час 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щорічного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оцінювання)</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 xml:space="preserve">Сектором 06.12.2023 (службова записка від 07.12.2023 № 204/14-16) проведено моніторинг результатів щорічного оцінювання, яким встановлено, що відповідно до наказу Головного управління від 03.10.2023 № 351-О “Про визначення результатів виконання завдань державними службовцями Головного управління Пенсійного фонду України в Миколаївській області, які займають посади державної служби категорій “Б” і “В”, у 2023 році” </w:t>
            </w:r>
            <w:r>
              <w:rPr>
                <w:rFonts w:eastAsia="Calibri" w:ascii="Times New Roman" w:hAnsi="Times New Roman"/>
                <w:kern w:val="0"/>
                <w:sz w:val="24"/>
                <w:szCs w:val="24"/>
                <w:lang w:eastAsia="en-US" w:bidi="ar-SA"/>
              </w:rPr>
              <w:t>проведено оцінювання 599 державних службовців Головного управління, з них: 108 державних службовців, які займають посади державної служби категорії “Б”, та 491 – посади категорії “В”.</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Наказом Головного управління від 04.12..2023 № 411-О “Про затвердження висновку щодо оцінювання результатів службової діяльності” затверджено висновок щодо результатів оцінювання службової діяльності по 584 державним службовцям (звільнилось — 15 осіб) 108 державних службовця категорії посад “Б” та 476 категорії посад “В”. Під час проведення моніторингу фактів протиправного впливу на результати щорічного оцінювання, результатів службової діяльності державних службовців Головного управління не встановлено.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 xml:space="preserve">Розділ </w:t>
            </w:r>
            <w:r>
              <w:rPr>
                <w:rFonts w:eastAsia="Calibri" w:cs="Times New Roman" w:ascii="Times New Roman" w:hAnsi="Times New Roman"/>
                <w:b/>
                <w:kern w:val="0"/>
                <w:sz w:val="28"/>
                <w:szCs w:val="28"/>
                <w:lang w:val="en-US" w:eastAsia="en-US" w:bidi="ar-SA"/>
              </w:rPr>
              <w:t xml:space="preserve">VII. </w:t>
            </w:r>
            <w:r>
              <w:rPr>
                <w:rFonts w:eastAsia="Calibri" w:cs="Times New Roman" w:ascii="Times New Roman" w:hAnsi="Times New Roman"/>
                <w:b/>
                <w:kern w:val="0"/>
                <w:sz w:val="28"/>
                <w:szCs w:val="28"/>
                <w:lang w:eastAsia="en-US" w:bidi="ar-SA"/>
              </w:rPr>
              <w:t>Внутрішній аудит</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52</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механізму відбору об’єктів аудиту шляхом застосування критеріїв ризик-орієнтованого відбору об’єктів аудиту для формування стратегічних та операційних планів діяльності з внутрішнього аудиту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Бойчук С. О.,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До початку формування стратегічного та операційного планів на наступні періоди відділом внутрішнього аудиту здійснено визначення простору внутрішнього аудиту. Стосовно кожного об’єкта аудиту визначено події, які можуть призвести до виникнення ризиків та негативно впливати на досягнення Головним управлінням визначених цілей. Ідентифікацію ризиків проведено з урахуванням повідомлень структурних підрозділів про проблемні питання та ризики у їх діяльності. За результатами проведеного відбору актуальних об’єктів аудиту та визначення пріоритетності їх дослідження підготовлено Стратегічний план діяльності з внутрішнього аудиту на 2022-2024 роки та Операційний план діяльності з внутрішнього аудиту на 2022 рік, які 16.12.2021 затверджені начальником Головного управління.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53</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вибіркового моніторингу</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результатів аудиторської діяльності (при плануванні та здійсненні аудиторського дослідження) членами аудиторської групи Фонду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Сектор з питань запобігання та виявлення корупції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щопівроку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bCs/>
                <w:sz w:val="28"/>
                <w:szCs w:val="28"/>
              </w:rPr>
            </w:pPr>
            <w:r>
              <w:rPr>
                <w:rFonts w:eastAsia="Calibri" w:cs="Times New Roman" w:ascii="Times New Roman" w:hAnsi="Times New Roman"/>
                <w:b w:val="false"/>
                <w:bCs w:val="false"/>
                <w:kern w:val="0"/>
                <w:sz w:val="24"/>
                <w:szCs w:val="24"/>
                <w:lang w:eastAsia="en-US" w:bidi="ar-SA"/>
              </w:rPr>
              <w:t>До початку формування Плану діяльності з внутрішнього аудиту Головного управління Пенсійного фонду України в Миколаївській області на 2024-2026 роки відділом внутрішнього аудиту здійснено визначення простору внутрішнього аудиту. Стосовно кожного об’єкта аудиту визначено події, які можуть призвести до виникнення ризиків та негативно впливати на досягнення Головним управлінням визначених цілей. Ідентифікацію ризиків проведено з урахуванням повідомлень структурних підрозділів про проблемні питання та ризики у їх діяльності. За результатами проведеного відбору актуальних об’єктів аудиту та визначення пріоритетності їх дослідження підготовлено План діяльності з внутрішнього аудиту Головного управління Пенсійного фонду України в Миколаївській області на 2024-2026 роки, який затверджено начальником Головного управління 11 грудня 2023 року.</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 xml:space="preserve">Розділ </w:t>
            </w:r>
            <w:r>
              <w:rPr>
                <w:rFonts w:eastAsia="Calibri" w:cs="Times New Roman" w:ascii="Times New Roman" w:hAnsi="Times New Roman"/>
                <w:b/>
                <w:kern w:val="0"/>
                <w:sz w:val="28"/>
                <w:szCs w:val="28"/>
                <w:lang w:val="en-US" w:eastAsia="en-US" w:bidi="ar-SA"/>
              </w:rPr>
              <w:t xml:space="preserve">VIII. </w:t>
            </w:r>
            <w:r>
              <w:rPr>
                <w:rFonts w:eastAsia="Calibri" w:cs="Times New Roman" w:ascii="Times New Roman" w:hAnsi="Times New Roman"/>
                <w:b/>
                <w:kern w:val="0"/>
                <w:sz w:val="28"/>
                <w:szCs w:val="28"/>
                <w:lang w:eastAsia="en-US" w:bidi="ar-SA"/>
              </w:rPr>
              <w:t>Контрольно-перевірочна робота</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54</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пам’ятки про персональну відповідальність за порушення законодавства та обов’язок повідомлення</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керівника у разі спроб протиправного впливу з боку третіх осіб</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Степанюк Є. Д.</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Службовою запискою від 23.12.2021 № 121/13-16 направлено до управління контрольно-перевірочної роботи розроблену пам’ятку про персональну відповідальність за порушення законодавства та обов’язок повідомлення керівника у разі спроб протиправного впливу з боку третіх осіб.</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55</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Ознайомлення посадових осіб, які здійснюють контрольні заходи, органів Фонду з</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пам’яткою під особистий підпис</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Сектор з питань запобігання та виявлення корупції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щопівроку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(новопризначених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працівників –</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 десяти</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робочих днів з дня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призначення)</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 xml:space="preserve">Станом на 01.01.2024 всі працівники управління ознайомлені з пам’яткою під особистий підпис. </w:t>
            </w:r>
            <w:r>
              <w:rPr>
                <w:rFonts w:cs="Times New Roman" w:ascii="Times New Roman" w:hAnsi="Times New Roman"/>
                <w:b w:val="false"/>
                <w:bCs w:val="false"/>
                <w:sz w:val="24"/>
                <w:szCs w:val="24"/>
              </w:rPr>
              <w:t>Управлінням контрольно-перевірочної роботи в червні 2023 року проведено ознайомлення посадових осіб відділу профілактики та розслідування нещасних випадків управління та відділу перевірки обґрунтованості видачі листків непрацездатності, які беруть участь у роботі колегіальних органів, з пам’яткою під особистий підпис.</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56</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та впровадження програмного</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забезпечення формування річного плану здійснення заходів державного нагляду (контролю) в автоматичному режимі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 Галинтовська О. О., Ємельянова О. Л.,</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Степанюк Є. Д.</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Не 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Станом на 01.01.2023 програмне забезпечення щодо формування річного плану здійснення заходів державного нагляду (контролю) в автоматичному режимі не розроблялось та не впроваджувалось.</w:t>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 xml:space="preserve">Розділ </w:t>
            </w:r>
            <w:r>
              <w:rPr>
                <w:rFonts w:eastAsia="Calibri" w:cs="Times New Roman" w:ascii="Times New Roman" w:hAnsi="Times New Roman"/>
                <w:b/>
                <w:kern w:val="0"/>
                <w:sz w:val="28"/>
                <w:szCs w:val="28"/>
                <w:lang w:val="en-US" w:eastAsia="en-US" w:bidi="ar-SA"/>
              </w:rPr>
              <w:t xml:space="preserve">IX. </w:t>
            </w:r>
            <w:r>
              <w:rPr>
                <w:rFonts w:eastAsia="Calibri" w:cs="Times New Roman" w:ascii="Times New Roman" w:hAnsi="Times New Roman"/>
                <w:b/>
                <w:kern w:val="0"/>
                <w:sz w:val="28"/>
                <w:szCs w:val="28"/>
                <w:lang w:eastAsia="en-US" w:bidi="ar-SA"/>
              </w:rPr>
              <w:t>Запобігання корупції</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57</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алгоритму дій сектору з питань запобігання та виявлення корупції щодо моніторингу офіційного вебпорталу “Судова влада України”, Єдиного державного реєстру судових</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Сектор з питань запобігання та виявлення корупції, 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30.06.2022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30.06.</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Наказом Головного управління від 16.02.2022    № 130 затверджено моніторинг офіційного веб-порталу «Судова влада України», Єдиного державного реєстру судових рішень щодо наявності судових рішень про притягнення працівників Головного управління Пенсійного фонду України в Миколаївській області до відповідальності за вчинення корупційного чи пов’язаного з корупцією правопорушення.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58</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Розробка та прийняття акту, який регулює механізми заохочення викривачів та забезпечує формування культури повідомлення про можливі факти корупційних або пов’язаних з корупцією правопорушень, інших порушень Закону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Сектор з питань запобігання та виявлення корупції,</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30.10.2022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30.10.</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Розроблено та зареєстровано</w:t>
            </w:r>
            <w:r>
              <w:rPr>
                <w:rFonts w:eastAsia="Calibri" w:cs="Times New Roman" w:ascii="Times New Roman" w:hAnsi="Times New Roman"/>
                <w:b w:val="false"/>
                <w:bCs w:val="false"/>
                <w:kern w:val="0"/>
                <w:sz w:val="28"/>
                <w:szCs w:val="28"/>
                <w:lang w:eastAsia="en-US" w:bidi="ar-SA"/>
              </w:rPr>
              <w:t xml:space="preserve"> </w:t>
            </w:r>
            <w:r>
              <w:rPr>
                <w:rFonts w:eastAsia="Calibri" w:cs="Times New Roman" w:ascii="Times New Roman" w:hAnsi="Times New Roman"/>
                <w:b w:val="false"/>
                <w:bCs w:val="false"/>
                <w:kern w:val="0"/>
                <w:sz w:val="24"/>
                <w:szCs w:val="24"/>
                <w:lang w:eastAsia="en-US" w:bidi="ar-SA"/>
              </w:rPr>
              <w:t>31.12.2021 № 126/13-16 Положення щодо впровадження Головним управлінням Пенсійного фонду України в Миколаївській області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59</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 регулярних комунікаційних кампаній щодо захисту</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трудових прав викривача; прав викривача на конфіденційність та анонімність; прав викривача на отримання інформації; прав викривача на винагороду; юридичної відповідальності викривача; інших прав та гарантій захисту викривача</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Боденко В. 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щороку,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але не рідше раз</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на рік</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 xml:space="preserve">Сектором проведено: </w:t>
            </w:r>
            <w:r>
              <w:rPr>
                <w:rFonts w:eastAsia="Calibri" w:cs="Times New Roman" w:ascii="Times New Roman" w:hAnsi="Times New Roman"/>
                <w:b w:val="false"/>
                <w:bCs w:val="false"/>
                <w:kern w:val="0"/>
                <w:sz w:val="24"/>
                <w:szCs w:val="24"/>
                <w:lang w:val="uk-UA" w:eastAsia="en-US" w:bidi="ar-SA"/>
              </w:rPr>
              <w:t xml:space="preserve">22.03.2023 — міні-лекція </w:t>
            </w:r>
            <w:r>
              <w:rPr>
                <w:rFonts w:eastAsia="Calibri" w:cs="Times New Roman" w:ascii="Times New Roman" w:hAnsi="Times New Roman"/>
                <w:b w:val="false"/>
                <w:bCs w:val="false"/>
                <w:i w:val="false"/>
                <w:strike w:val="false"/>
                <w:dstrike w:val="false"/>
                <w:outline w:val="false"/>
                <w:shadow w:val="false"/>
                <w:color w:val="000000"/>
                <w:kern w:val="0"/>
                <w:sz w:val="24"/>
                <w:szCs w:val="24"/>
                <w:u w:val="none"/>
                <w:em w:val="none"/>
                <w:lang w:val="uk-UA" w:eastAsia="en-US" w:bidi="ar-SA"/>
              </w:rPr>
              <w:t>«Порядок повідомлення про</w:t>
            </w:r>
            <w:r>
              <w:rPr>
                <w:rFonts w:eastAsia="Calibri" w:cs="Times New Roman" w:ascii="Times New Roman" w:hAnsi="Times New Roman"/>
                <w:b w:val="false"/>
                <w:i w:val="false"/>
                <w:strike w:val="false"/>
                <w:dstrike w:val="false"/>
                <w:outline w:val="false"/>
                <w:shadow w:val="false"/>
                <w:color w:val="000000"/>
                <w:kern w:val="0"/>
                <w:sz w:val="24"/>
                <w:szCs w:val="24"/>
                <w:u w:val="none"/>
                <w:em w:val="none"/>
                <w:lang w:val="uk-UA" w:eastAsia="en-US" w:bidi="ar-SA"/>
              </w:rPr>
              <w:t xml:space="preserve"> корупцію у Пенсійному фонді України та його органах».</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i w:val="false"/>
                <w:strike w:val="false"/>
                <w:dstrike w:val="false"/>
                <w:outline w:val="false"/>
                <w:shadow w:val="false"/>
                <w:color w:val="000000"/>
                <w:kern w:val="0"/>
                <w:sz w:val="24"/>
                <w:szCs w:val="24"/>
                <w:u w:val="none"/>
                <w:em w:val="none"/>
                <w:lang w:val="uk-UA" w:eastAsia="en-US" w:bidi="ar-SA"/>
              </w:rPr>
              <w:t xml:space="preserve">29.03.2023 — тренінг на тему:«Викривач, правовий статус», кількість присутніх працівників — 22 особи. 23.06.2023 проведено тестування за Гугл формою на тему: “Викривач у законі”, тестування пройшли — 487 працівників. Через сервісні центри Головного управління розповсюджено 120 екземплярів брошур з даної тематики. </w:t>
            </w:r>
            <w:r>
              <w:rPr>
                <w:rFonts w:eastAsia="Calibri" w:cs="Times New Roman" w:ascii="Times New Roman" w:hAnsi="Times New Roman"/>
                <w:b w:val="false"/>
                <w:bCs w:val="false"/>
                <w:i w:val="false"/>
                <w:strike w:val="false"/>
                <w:dstrike w:val="false"/>
                <w:outline w:val="false"/>
                <w:shadow w:val="false"/>
                <w:color w:val="000000"/>
                <w:kern w:val="0"/>
                <w:sz w:val="24"/>
                <w:szCs w:val="24"/>
                <w:u w:val="none"/>
                <w:em w:val="none"/>
                <w:lang w:val="uk-UA" w:eastAsia="en-US" w:bidi="ar-SA"/>
              </w:rPr>
              <w:t>27.07.2023 - Публікація в Telegram-каналі та на сторінці Головного управління у Facebook “Порядок повідомлення про корупцію у Головному управлінні Пенсійного фонду України в Миколаївській області”;</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i w:val="false"/>
                <w:strike w:val="false"/>
                <w:dstrike w:val="false"/>
                <w:outline w:val="false"/>
                <w:shadow w:val="false"/>
                <w:color w:val="000000"/>
                <w:kern w:val="0"/>
                <w:sz w:val="24"/>
                <w:szCs w:val="24"/>
                <w:u w:val="none"/>
                <w:em w:val="none"/>
                <w:lang w:val="uk-UA" w:eastAsia="en-US" w:bidi="ar-SA"/>
              </w:rPr>
              <w:t>16.08.2023 -  Публікація в Telegram-каналі та на сторінці Головного управління у Facebook “Як повідомити про корупцію”; 08.09.2023 — тренінг “</w:t>
            </w:r>
            <w:r>
              <w:rPr>
                <w:rFonts w:eastAsia="Calibri" w:cs="Times New Roman" w:ascii="Times New Roman" w:hAnsi="Times New Roman"/>
                <w:b w:val="false"/>
                <w:bCs w:val="false"/>
                <w:i w:val="false"/>
                <w:strike w:val="false"/>
                <w:dstrike w:val="false"/>
                <w:outline w:val="false"/>
                <w:shadow w:val="false"/>
                <w:color w:val="1C1C1C"/>
                <w:kern w:val="0"/>
                <w:sz w:val="24"/>
                <w:szCs w:val="24"/>
                <w:u w:val="none"/>
                <w:em w:val="none"/>
                <w:lang w:val="uk-UA" w:eastAsia="en-US" w:bidi="ar-SA"/>
              </w:rPr>
              <w:t>Порядок повідомлення про корупцію у Головному управлінні Пенсійного фонду України в Миколаївській області”.</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60</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Розроблення та прийняття локального акта, який визначатиме процедуру залучення сектору з питань запобігання та виявлення корупції до контролю за дотримання антикорупційного законодавства під час</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організації та проведення спеціальних перевірок стосовно осіб, які претендують на зайняття вакантних посад в апараті Фонду та його органах, а також визначить алгоритм взаємодії сектору з питань запобігання та виявлення корупції із службою управління персоналом у</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цьому напрямі роботи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 Білявська К. А.</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Наказом Головного управління від 01.12.2021 № 933 “Про організацію проведення спеціальної перевірки відомостей осіб, які претендують на зайняття посад, які передбачають зайняття відповідального або особливо відповідального становища в Головному управлінні Пенсійного фонду України в Миколаївській області” визначено алгоритм взаємодії сектору з питань запобігання та виявлення корупції із  управлінням по роботі з персоналом.</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61</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додаткових заходів контролю сектором з питань запобігання та виявлення корупції за процесом організації та проведення спеціальних перевірок стосовно осіб, які претендують на зайняття вакантних посад в апараті Фонду та його органах, шляхом ознайомлення з матеріалами таких перевірок</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 Білявська К. А.</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 – 2023 років,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але не рідше раз</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на рік</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b w:val="false"/>
                <w:bCs w:val="false"/>
                <w:kern w:val="0"/>
                <w:sz w:val="24"/>
                <w:szCs w:val="24"/>
                <w:lang w:eastAsia="en-US" w:bidi="ar-SA"/>
              </w:rPr>
              <w:t>Станом на 01.01.2024 надали згоду на проведення спеціальної перевірки 30 претендентів на посаду, що передбачає відповідальне або особливо відповідальне становище та посаду з підвищеним корупційним ризиком, визначених в ст. 56 Закону України “Про запобігання корупції”. Стосовно 29 претендентів спеціальна перевірка триває.</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62</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додаткових контрольних</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заходів шляхом здійснення аналізу сектором з питань запобігання та виявлення корупції матеріалів особових справ працівників на предмет виявлення близьких осіб за обставин їх прямої підпорядкованості та фактів неповідомлення працівниками їх керівництва про працюючих близьких осіб</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Лунгул В. В., Білявська К. А.</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 – 2023 років</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Times New Roman" w:cs="Times New Roman" w:ascii="Times New Roman" w:hAnsi="Times New Roman"/>
                <w:b w:val="false"/>
                <w:bCs w:val="false"/>
                <w:kern w:val="0"/>
                <w:sz w:val="24"/>
                <w:szCs w:val="24"/>
                <w:lang w:eastAsia="ru-RU" w:bidi="ar-SA"/>
              </w:rPr>
              <w:t>Проведено перевірку особових справ працівників щодо обмеження спільної роботи близьких осіб в Головному управлінні. Станом на 20.07.2023 в  Головному управлінні працювали -  54 близькі особи, доповідна записка від 20.07.2023 № 108/14-16. Порушень обмеження щодо прямої підпорядкованості та фактів неповідомлення працівниками їх керівництва про працюючих близьких осіб не встановлено.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Розділ Х. Організація роботи у сфері адміністративного забезпечення (господарська діяльність)</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63</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додаткових контрольних заходів (фактичний огляд, документальна вибіркова перевірка) за використанням матеріальних цінностей за цільовим призначенням</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eastAsia="Calibri"/>
                <w:kern w:val="0"/>
                <w:lang w:eastAsia="en-US" w:bidi="ar-SA"/>
              </w:rPr>
            </w:pPr>
            <w:r>
              <w:rPr>
                <w:rFonts w:eastAsia="Calibri" w:cs="Times New Roman" w:ascii="Times New Roman" w:hAnsi="Times New Roman"/>
                <w:kern w:val="0"/>
                <w:sz w:val="24"/>
                <w:szCs w:val="24"/>
                <w:lang w:eastAsia="en-US" w:bidi="ar-SA"/>
              </w:rPr>
              <w:t>Букін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01.04.2022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01.04.</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Не 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kern w:val="0"/>
                <w:sz w:val="24"/>
                <w:szCs w:val="24"/>
                <w:lang w:eastAsia="en-US" w:bidi="ar-SA"/>
              </w:rPr>
              <w:t>В зв’язку з бойовими діями на території області контрольні заходи за використанням матеріальних цінностей за цільовим призначенням не проводились.</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64</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Анкетування працівників Фонду (органу Фонду) для отримання необхідної інформації про потребу та цільове використання матеріальних цінностей</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Букін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щопівроку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 потреби)</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В квітні та листопаді 2021 року проведено анонімне онлайн опитування на тему</w:t>
            </w:r>
            <w:r>
              <w:rPr>
                <w:rFonts w:eastAsia="Calibri" w:cs="Times New Roman" w:ascii="Times New Roman" w:hAnsi="Times New Roman"/>
                <w:b w:val="false"/>
                <w:bCs w:val="false"/>
                <w:kern w:val="0"/>
                <w:sz w:val="24"/>
                <w:szCs w:val="24"/>
                <w:lang w:val="ru-RU" w:eastAsia="en-US" w:bidi="ar-SA"/>
              </w:rPr>
              <w:t>: “</w:t>
            </w:r>
            <w:r>
              <w:rPr>
                <w:rFonts w:eastAsia="Calibri" w:cs="Times New Roman" w:ascii="Times New Roman" w:hAnsi="Times New Roman"/>
                <w:b w:val="false"/>
                <w:bCs w:val="false"/>
                <w:kern w:val="0"/>
                <w:sz w:val="24"/>
                <w:szCs w:val="24"/>
                <w:lang w:eastAsia="en-US" w:bidi="ar-SA"/>
              </w:rPr>
              <w:t>Оцінка</w:t>
            </w:r>
            <w:r>
              <w:rPr>
                <w:rFonts w:eastAsia="Calibri" w:cs="Times New Roman" w:ascii="Times New Roman" w:hAnsi="Times New Roman"/>
                <w:b w:val="false"/>
                <w:bCs w:val="false"/>
                <w:kern w:val="0"/>
                <w:sz w:val="24"/>
                <w:szCs w:val="24"/>
                <w:lang w:val="ru-RU" w:eastAsia="en-US" w:bidi="ar-SA"/>
              </w:rPr>
              <w:t xml:space="preserve"> </w:t>
            </w:r>
            <w:r>
              <w:rPr>
                <w:rFonts w:eastAsia="Calibri" w:cs="Times New Roman" w:ascii="Times New Roman" w:hAnsi="Times New Roman"/>
                <w:b w:val="false"/>
                <w:bCs w:val="false"/>
                <w:kern w:val="0"/>
                <w:sz w:val="24"/>
                <w:szCs w:val="24"/>
                <w:lang w:eastAsia="en-US" w:bidi="ar-SA"/>
              </w:rPr>
              <w:t>робочого</w:t>
            </w:r>
            <w:r>
              <w:rPr>
                <w:rFonts w:eastAsia="Calibri" w:cs="Times New Roman" w:ascii="Times New Roman" w:hAnsi="Times New Roman"/>
                <w:b w:val="false"/>
                <w:bCs w:val="false"/>
                <w:kern w:val="0"/>
                <w:sz w:val="24"/>
                <w:szCs w:val="24"/>
                <w:lang w:val="ru-RU" w:eastAsia="en-US" w:bidi="ar-SA"/>
              </w:rPr>
              <w:t xml:space="preserve"> </w:t>
            </w:r>
            <w:r>
              <w:rPr>
                <w:rFonts w:eastAsia="Calibri" w:cs="Times New Roman" w:ascii="Times New Roman" w:hAnsi="Times New Roman"/>
                <w:b w:val="false"/>
                <w:bCs w:val="false"/>
                <w:kern w:val="0"/>
                <w:sz w:val="24"/>
                <w:szCs w:val="24"/>
                <w:lang w:eastAsia="en-US" w:bidi="ar-SA"/>
              </w:rPr>
              <w:t>середовища</w:t>
            </w:r>
            <w:r>
              <w:rPr>
                <w:rFonts w:eastAsia="Calibri" w:cs="Times New Roman" w:ascii="Times New Roman" w:hAnsi="Times New Roman"/>
                <w:b w:val="false"/>
                <w:bCs w:val="false"/>
                <w:kern w:val="0"/>
                <w:sz w:val="24"/>
                <w:szCs w:val="24"/>
                <w:lang w:val="ru-RU" w:eastAsia="en-US" w:bidi="ar-SA"/>
              </w:rPr>
              <w:t xml:space="preserve"> </w:t>
            </w:r>
            <w:r>
              <w:rPr>
                <w:rFonts w:eastAsia="Calibri" w:cs="Times New Roman" w:ascii="Times New Roman" w:hAnsi="Times New Roman"/>
                <w:b w:val="false"/>
                <w:bCs w:val="false"/>
                <w:kern w:val="0"/>
                <w:sz w:val="24"/>
                <w:szCs w:val="24"/>
                <w:lang w:eastAsia="en-US" w:bidi="ar-SA"/>
              </w:rPr>
              <w:t>фахівцями</w:t>
            </w:r>
            <w:r>
              <w:rPr>
                <w:rFonts w:eastAsia="Calibri" w:cs="Times New Roman" w:ascii="Times New Roman" w:hAnsi="Times New Roman"/>
                <w:b w:val="false"/>
                <w:bCs w:val="false"/>
                <w:kern w:val="0"/>
                <w:sz w:val="24"/>
                <w:szCs w:val="24"/>
                <w:lang w:val="ru-RU" w:eastAsia="en-US" w:bidi="ar-SA"/>
              </w:rPr>
              <w:t xml:space="preserve"> Головного </w:t>
            </w:r>
            <w:r>
              <w:rPr>
                <w:rFonts w:eastAsia="Calibri" w:cs="Times New Roman" w:ascii="Times New Roman" w:hAnsi="Times New Roman"/>
                <w:b w:val="false"/>
                <w:bCs w:val="false"/>
                <w:kern w:val="0"/>
                <w:sz w:val="24"/>
                <w:szCs w:val="24"/>
                <w:lang w:eastAsia="en-US" w:bidi="ar-SA"/>
              </w:rPr>
              <w:t>управління</w:t>
            </w:r>
            <w:r>
              <w:rPr>
                <w:rFonts w:eastAsia="Calibri" w:cs="Times New Roman" w:ascii="Times New Roman" w:hAnsi="Times New Roman"/>
                <w:b w:val="false"/>
                <w:bCs w:val="false"/>
                <w:kern w:val="0"/>
                <w:sz w:val="24"/>
                <w:szCs w:val="24"/>
                <w:lang w:val="ru-RU" w:eastAsia="en-US" w:bidi="ar-SA"/>
              </w:rPr>
              <w:t>”.</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65</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Розроблення форм з обґрунтуванням потреб у матеріальних цінностях та процедури перевірки їх достовірності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Букін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29"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31.03.2022</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31.03.</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2022</w:t>
            </w:r>
          </w:p>
        </w:tc>
        <w:tc>
          <w:tcPr>
            <w:tcW w:w="1530" w:type="dxa"/>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Для проведення закупівель товарів, робіт та послуг розроблено форму Подання про закупівлю товарів, робіт та послуг для потреб Головного управління Пенсійного фонду України в Миколаївській області. Подання формуються структурними підрозділами, до компетенції яких належить вирішення відповідних питань, за погодженням з начальником фінансово-економічного управління – головним бухгалтером та завідувачем сектору з питань запобігання та виявлення корупції. Якщо вартість предмету закупівлі дорівнює або перевищує 50 тисяч гривень, подання додатково узгоджується з першим заступником начальника Головного управління. До подання додаються службові записки з розрахунками вартості предмета закупівлі та з обґрунтуваннями необхідності закупівлі, дефектні акти, комерційні пропозиції.</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66</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Здійснення вибіркових перевірок законності підстав та обґрунтувань для списання матеріальних цінностей</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 Ємельянова О. Л.,</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Букін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 – 2023 років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 разі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надходження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документів щодо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списання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матеріальних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цінностей)</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eastAsia="Times New Roman" w:cs="Times New Roman" w:ascii="Times New Roman" w:hAnsi="Times New Roman"/>
                <w:b w:val="false"/>
                <w:bCs w:val="false"/>
                <w:color w:val="auto"/>
                <w:kern w:val="0"/>
                <w:sz w:val="24"/>
                <w:szCs w:val="24"/>
                <w:lang w:val="uk-UA" w:eastAsia="zh-CN" w:bidi="ar-SA"/>
              </w:rPr>
              <w:t>В Головному управлінні протягом 2023 року списано згідно актів списання непридатні основні засоби в кількості 133 шт. на суму 311066 грн. та інші необоротні активи в кількості467 шт. на суму 165772,40 грн. Списання проводилось відповідно до вимог Порядку, затвердженого Постановою Кабінету Міністрів України від 08 листопада 2007 року №1314 «Про затвердження Порядку списання об’єктів державної власності», комісією зі списання майна, затвердженою наказом від 31грудня 2020 року №671 «Про організацію бухгалтерського обліку в Головному управлінні Пенсійного фонду України в Миколаївській області».</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b/>
                <w:sz w:val="28"/>
                <w:szCs w:val="28"/>
              </w:rPr>
            </w:pPr>
            <w:r>
              <w:rPr>
                <w:rFonts w:eastAsia="Times New Roman" w:cs="Times New Roman" w:ascii="Times New Roman" w:hAnsi="Times New Roman"/>
                <w:b w:val="false"/>
                <w:bCs w:val="false"/>
                <w:color w:val="auto"/>
                <w:kern w:val="0"/>
                <w:sz w:val="24"/>
                <w:szCs w:val="24"/>
                <w:lang w:val="uk-UA" w:eastAsia="zh-CN" w:bidi="ar-SA"/>
              </w:rPr>
              <w:t>- Проведено інвентаризацію майна, що пропонується до списання, та за її результатами складено відповідн</w:t>
            </w:r>
            <w:r>
              <w:rPr>
                <w:rFonts w:eastAsia="Times New Roman" w:cs="Times New Roman" w:ascii="Times New Roman" w:hAnsi="Times New Roman"/>
                <w:b w:val="false"/>
                <w:bCs w:val="false"/>
                <w:color w:val="auto"/>
                <w:kern w:val="0"/>
                <w:sz w:val="24"/>
                <w:szCs w:val="24"/>
                <w:lang w:val="uk-UA" w:eastAsia="ru-RU" w:bidi="ar-SA"/>
              </w:rPr>
              <w:t>і</w:t>
            </w:r>
            <w:r>
              <w:rPr>
                <w:rFonts w:eastAsia="Times New Roman" w:cs="Times New Roman" w:ascii="Times New Roman" w:hAnsi="Times New Roman"/>
                <w:b w:val="false"/>
                <w:bCs w:val="false"/>
                <w:color w:val="auto"/>
                <w:kern w:val="0"/>
                <w:sz w:val="24"/>
                <w:szCs w:val="24"/>
                <w:lang w:val="uk-UA" w:eastAsia="zh-CN" w:bidi="ar-SA"/>
              </w:rPr>
              <w:t xml:space="preserve"> акти; - складено акти списання (за типовою формою, затвердженою наказом від 13.09.2016 №818) з висновками про технічних стан, та причини списання; - проведено передачу на утилізацію та переробку непридатної техніки спеціалізованому підприємству ТОВ “Укрсервіс-М”; - </w:t>
            </w:r>
            <w:r>
              <w:rPr>
                <w:rFonts w:eastAsia="Times New Roman" w:cs="Times New Roman" w:ascii="Times New Roman" w:hAnsi="Times New Roman"/>
                <w:b w:val="false"/>
                <w:bCs w:val="false"/>
                <w:color w:val="auto"/>
                <w:kern w:val="0"/>
                <w:sz w:val="24"/>
                <w:szCs w:val="24"/>
                <w:lang w:val="uk-UA" w:eastAsia="ru-RU" w:bidi="ar-SA"/>
              </w:rPr>
              <w:t xml:space="preserve">проведено знищення меблів та іншого інвентарю шляхом подрібнення та передано на утилізацію, як тверді побутові відходи; </w:t>
            </w:r>
            <w:r>
              <w:rPr>
                <w:rFonts w:eastAsia="Times New Roman" w:cs="Times New Roman" w:ascii="Times New Roman" w:hAnsi="Times New Roman"/>
                <w:b w:val="false"/>
                <w:bCs w:val="false"/>
                <w:color w:val="auto"/>
                <w:kern w:val="0"/>
                <w:sz w:val="24"/>
                <w:szCs w:val="24"/>
                <w:lang w:val="uk-UA" w:eastAsia="zh-CN" w:bidi="ar-SA"/>
              </w:rPr>
              <w:t>- оформлені протоколи засідан</w:t>
            </w:r>
            <w:r>
              <w:rPr>
                <w:rFonts w:eastAsia="Times New Roman" w:cs="Times New Roman" w:ascii="Times New Roman" w:hAnsi="Times New Roman"/>
                <w:b w:val="false"/>
                <w:bCs w:val="false"/>
                <w:color w:val="auto"/>
                <w:kern w:val="0"/>
                <w:sz w:val="24"/>
                <w:szCs w:val="24"/>
                <w:lang w:val="uk-UA" w:eastAsia="ru-RU" w:bidi="ar-SA"/>
              </w:rPr>
              <w:t>ня</w:t>
            </w:r>
            <w:r>
              <w:rPr>
                <w:rFonts w:eastAsia="Times New Roman" w:cs="Times New Roman" w:ascii="Times New Roman" w:hAnsi="Times New Roman"/>
                <w:b w:val="false"/>
                <w:bCs w:val="false"/>
                <w:color w:val="auto"/>
                <w:kern w:val="0"/>
                <w:sz w:val="24"/>
                <w:szCs w:val="24"/>
                <w:lang w:val="uk-UA" w:eastAsia="zh-CN" w:bidi="ar-SA"/>
              </w:rPr>
              <w:t xml:space="preserve"> комісії.</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3948" w:type="dxa"/>
            <w:gridSpan w:val="8"/>
            <w:tcBorders/>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Розділ ХІІ. Публічні закупівлі</w:t>
            </w:r>
          </w:p>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(зацікавлені структурні підрозділи, члени тендерного комітету та уповноважені особи з питань публічних закупівель (з 01.01.2022))</w:t>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67</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Визначення регламенту проведення аналізу ринку з метою оцінювання, наскільки визначені замовником в умовах закупівлі характеристики товару, роботи чи послуги є специфічними чи спеціальними, порівняно з іншими закупівлями цього замовника, а у разі відсутності таких – із закупівлями інших замовників у галузі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Кондрат О. 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Галинтовська О. 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Клименко О. П., Ємельянова О. Л.,</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Букін О. А.,</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31.12.2021</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31.12.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В Головному управлінні розроблено “Порядок організації та ведення договірної роботи  в  Головному управлінні Пенсійного фонду України в Миколаївській області”. Сектором договірної  роботи юридичного управління Головного управління розроблені методичні рекомендації “Правове регулювання договорів під час їх складання та укладання”.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68</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Залучення сектору з питань запобігання та</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виявлення корупції до аналізу умов закупівлі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Сектор з питань запобігання та виявлення корупції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закупівлі)</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Працівниками сектору з питань запобігання та виявлення корупції</w:t>
            </w:r>
            <w:r>
              <w:rPr>
                <w:rFonts w:eastAsia="Calibri" w:cs="Times New Roman" w:ascii="Times New Roman" w:hAnsi="Times New Roman"/>
                <w:b w:val="false"/>
                <w:bCs w:val="false"/>
                <w:kern w:val="0"/>
                <w:sz w:val="28"/>
                <w:szCs w:val="28"/>
                <w:lang w:eastAsia="en-US" w:bidi="ar-SA"/>
              </w:rPr>
              <w:t xml:space="preserve"> </w:t>
            </w:r>
            <w:r>
              <w:rPr>
                <w:rFonts w:eastAsia="Calibri" w:cs="Times New Roman" w:ascii="Times New Roman" w:hAnsi="Times New Roman"/>
                <w:b w:val="false"/>
                <w:bCs w:val="false"/>
                <w:kern w:val="0"/>
                <w:sz w:val="24"/>
                <w:szCs w:val="24"/>
                <w:lang w:eastAsia="en-US" w:bidi="ar-SA"/>
              </w:rPr>
              <w:t>перед початком проведення закупівлі розглядаються подання та умови договору. У разі відсутності інформації про корупційні ризики</w:t>
            </w:r>
            <w:r>
              <w:rPr>
                <w:rFonts w:eastAsia="Calibri" w:cs="Times New Roman" w:ascii="Times New Roman" w:hAnsi="Times New Roman"/>
                <w:b w:val="false"/>
                <w:bCs w:val="false"/>
                <w:color w:val="FF0000"/>
                <w:kern w:val="0"/>
                <w:sz w:val="24"/>
                <w:szCs w:val="24"/>
                <w:lang w:eastAsia="en-US" w:bidi="ar-SA"/>
              </w:rPr>
              <w:t xml:space="preserve"> </w:t>
            </w:r>
            <w:r>
              <w:rPr>
                <w:rFonts w:eastAsia="Calibri" w:cs="Times New Roman" w:ascii="Times New Roman" w:hAnsi="Times New Roman"/>
                <w:b w:val="false"/>
                <w:bCs w:val="false"/>
                <w:kern w:val="0"/>
                <w:sz w:val="24"/>
                <w:szCs w:val="24"/>
                <w:lang w:eastAsia="en-US" w:bidi="ar-SA"/>
              </w:rPr>
              <w:t xml:space="preserve">подання погоджується. Також сектором розроблено порядок проведення аналізу потенційних та наявних контрагентів Головного управління. Станом на 01.01.2024 проведено 102 </w:t>
            </w:r>
            <w:bookmarkStart w:id="0" w:name="_GoBack"/>
            <w:bookmarkEnd w:id="0"/>
            <w:r>
              <w:rPr>
                <w:rFonts w:eastAsia="Calibri" w:cs="Times New Roman" w:ascii="Times New Roman" w:hAnsi="Times New Roman"/>
                <w:b w:val="false"/>
                <w:bCs w:val="false"/>
                <w:kern w:val="0"/>
                <w:sz w:val="24"/>
                <w:szCs w:val="24"/>
                <w:lang w:eastAsia="en-US" w:bidi="ar-SA"/>
              </w:rPr>
              <w:t xml:space="preserve"> перевірки контрагентів, порушень не встановлено.</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69</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Використання аналітичних модулів для моніторингу цін (зокрема, bi.prozorro.org, clarityproject.info, acm-ua.org)</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kern w:val="0"/>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(під час</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закупівель)</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Для моніторингу цін використовуються аналітичні модулі.</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70</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Використання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(під час</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закупівель)</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З метою встановлення поточних цін, до цін попередніх закупівель застосовується коефіцієнт індексації, розрахований за допомогою калькулятора індексації на офіційному вебсайті Державної служби статистики України.</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71</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 замовником попередніх ринкових консультацій при плануванні закупівель та організації їх проведення для аналізу ринку, у тому</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числі отримання рекомендацій та інформації від суб’єктів Господарювання відповідно до ч. 4 ст. 4 Закону України “Про публічні закупівлі”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формування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потреби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закупівель)</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Відповідно до ч. 4 ст. 4 Закону України “Про публічні закупівлі” перед початком формування потреби проведення закупівель Головним управлінням проводяться попередні ринкові консультації, аналіз ринку, інформації від суб’єктів господарювання.</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72</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Використання Конструктора та бібліотеки примірних специфікацій (</w:t>
            </w:r>
            <w:hyperlink r:id="rId2">
              <w:r>
                <w:rPr>
                  <w:rFonts w:eastAsia="Calibri" w:cs="Times New Roman" w:ascii="Times New Roman" w:hAnsi="Times New Roman"/>
                  <w:kern w:val="0"/>
                  <w:sz w:val="24"/>
                  <w:szCs w:val="24"/>
                  <w:lang w:eastAsia="en-US" w:bidi="ar-SA"/>
                </w:rPr>
                <w:t>https://specifications.prozorr</w:t>
              </w:r>
            </w:hyperlink>
            <w:r>
              <w:rPr>
                <w:rFonts w:eastAsia="Calibri" w:cs="Times New Roman" w:ascii="Times New Roman" w:hAnsi="Times New Roman"/>
                <w:kern w:val="0"/>
                <w:sz w:val="24"/>
                <w:szCs w:val="24"/>
                <w:lang w:eastAsia="en-US" w:bidi="ar-SA"/>
              </w:rPr>
              <w:t>o.org/specifications?page=1&amp;count=10</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формування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потреби 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закупівлі)</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В разі необхідності використовується конструктор та бібліотека примірних специфікацій.</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73</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 аналізу ринку з метою оцінювання, наскільки заявлені замовником в тендерній документації характеристики товару, роботи чи послуги є специфічними чи спеціальними, порівняно з іншими закупівлями цього замовника, а у разі відсутності таких – з іншими тендерами в галузі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формування</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потреби 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закупівлі)</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Постійно перед початком закупівель проводиться аналіз ринку з метою оцінювання, наскільки заявлені замовником в тендерній документації характеристики товару, роботи чи послуги є специфічними чи спеціальними, порівняно з іншими закупівлями цього замовника, а у разі відсутності таких – з іншими тендерами в галузі.</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74</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Врахування практики Антимонопольного комітету України стосовно інших тендерів замовника з</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метою встановлення вимог, які вже визнавалися дискримінаційними, з метою уникнення їх застосування надалі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формування тендерної</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документації)</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Перед початком формування тендерної документації враховується практика</w:t>
            </w:r>
            <w:r>
              <w:rPr>
                <w:rFonts w:eastAsia="Calibri" w:cs="Times New Roman" w:ascii="Times New Roman" w:hAnsi="Times New Roman"/>
                <w:b w:val="false"/>
                <w:bCs w:val="false"/>
                <w:kern w:val="0"/>
                <w:sz w:val="28"/>
                <w:szCs w:val="28"/>
                <w:lang w:eastAsia="en-US" w:bidi="ar-SA"/>
              </w:rPr>
              <w:t xml:space="preserve"> </w:t>
            </w:r>
            <w:r>
              <w:rPr>
                <w:rFonts w:eastAsia="Calibri" w:cs="Times New Roman" w:ascii="Times New Roman" w:hAnsi="Times New Roman"/>
                <w:b w:val="false"/>
                <w:bCs w:val="false"/>
                <w:kern w:val="0"/>
                <w:sz w:val="24"/>
                <w:szCs w:val="24"/>
                <w:lang w:eastAsia="en-US" w:bidi="ar-SA"/>
              </w:rPr>
              <w:t>Антимонопольного комітету України.</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75</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Проведення навчань (тренінгів) для посадових осіб замовника щодо роз’яснення прямої заборони замовникам</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вимагати від учасників надання зразків товару (продукції), а також подання у паперовому вигляді інформації, поданої ними під час проведення процедури закупівлі/спрощеної закупівлі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2021-2023 років,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але не</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рідше раз на рік</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Протягом 2023 року до навчального процесу самостійним структурним підрозділам Головного управління запропоновано включити тренінги для посадових осіб Головного управління щодо роз’яснення прямої заборони замовникам вимагати від учасників надання зразків товару (продукції), а також подання у паперовому вигляді інформації,поданої ними під час проведення процедури закупівлі/спрощеної закупівлі.</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76</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Перегляд розпорядчих актів про організацію закупівель у Фонді та його органах у разі змін законодавства у сфері публічних закупівель (за необхідності)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2021-2023 років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 разі потреби)</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Затверджено порядок закупівель наказом Головного управління від 14.05.2020 № 184 “Про організацію закупівель для забезпечення потреб Головного управління Пенсійного фонду України в Миколаївській області” (із змінами). Затверджено “Порядок організації та ведення договірної роботи в  Головному управлінні Пенсійного фонду України в Миколаївській області”.</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77</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Впровадження процедури візування безпосереднім керівником матеріально- відповідальної особи документів про виконання умов договору</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протягом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2021- 2023 років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підписанням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матеріально відповідальною</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особою документів про виконання умов</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договору)</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В електронному документообігу Головного управління запроваджено процедуру</w:t>
            </w:r>
            <w:r>
              <w:rPr>
                <w:rFonts w:eastAsia="Calibri" w:cs="Times New Roman" w:ascii="Times New Roman" w:hAnsi="Times New Roman"/>
                <w:b w:val="false"/>
                <w:bCs w:val="false"/>
                <w:kern w:val="0"/>
                <w:sz w:val="28"/>
                <w:szCs w:val="28"/>
                <w:lang w:eastAsia="en-US" w:bidi="ar-SA"/>
              </w:rPr>
              <w:t xml:space="preserve"> </w:t>
            </w:r>
            <w:r>
              <w:rPr>
                <w:rFonts w:eastAsia="Calibri" w:cs="Times New Roman" w:ascii="Times New Roman" w:hAnsi="Times New Roman"/>
                <w:b w:val="false"/>
                <w:bCs w:val="false"/>
                <w:kern w:val="0"/>
                <w:sz w:val="24"/>
                <w:szCs w:val="24"/>
                <w:lang w:eastAsia="en-US" w:bidi="ar-SA"/>
              </w:rPr>
              <w:t>візування безпосереднім керівником матеріально-відповідальної особи документів про виконання умов договору.</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78</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Забезпечення належного обґрунтування закупівлі необхідних товарів/робіт/послуг за переговорною процедурою закупівлі, зокрема, з посиланням на експертні, нормативні, технічні та інші документи, що підтверджують наявність підстав для застосування процедури закупівлі</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закупівлі)</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 закупівлі проводиться обґрунтування закупівлі необхідних товарів/робіт/послуг за переговорною процедурою закупівлі, зокрема, з посиланням на експертні, нормативні, технічні та інші документи, що підтверджують наявність підстав для застосування процедури закупівлі</w:t>
            </w:r>
          </w:p>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Забезпечується дотримання заходів щодо усунення вказаних корупційних ризиків та розроблено методичні рекомендації (від 03.01.2023 № 48/08-16).</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79</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Використання аналітичних інструментів, які допоможуть підтвердити або спростувати необхідність застосування переговорної процедури закупівлі, з метою проведення дослідження наявності чи відсутності конкуренції на ринку (bi.prozorro.org, clarity</w:t>
            </w:r>
            <w:r>
              <w:rPr>
                <w:rFonts w:eastAsia="Calibri"/>
                <w:kern w:val="0"/>
                <w:lang w:eastAsia="en-US" w:bidi="ar-SA"/>
              </w:rPr>
              <w:t xml:space="preserve"> </w:t>
            </w:r>
            <w:r>
              <w:rPr>
                <w:rFonts w:eastAsia="Calibri" w:cs="Times New Roman" w:ascii="Times New Roman" w:hAnsi="Times New Roman"/>
                <w:kern w:val="0"/>
                <w:sz w:val="24"/>
                <w:szCs w:val="24"/>
                <w:lang w:eastAsia="en-US" w:bidi="ar-SA"/>
              </w:rPr>
              <w:t>project.info або інші аналітичні інструменти)</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постійно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(перед початком</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закупівлі)</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eastAsia="en-US" w:bidi="ar-SA"/>
              </w:rPr>
              <w:t>З метою проведення дослідження наявності чи відсутності конкуренції на ринку використовуються аналітичні документи, які допомагають підтвердити або спростувати необхідність застосування переговорної процедури закупівлі.</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358"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80</w:t>
            </w:r>
          </w:p>
        </w:tc>
        <w:tc>
          <w:tcPr>
            <w:tcW w:w="2882"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Здійснення аналізу причин відсутності достатньої кількості учасників процедури закупівлі з метою їх подальшого усунення і збільшення конкуренції</w:t>
            </w:r>
          </w:p>
        </w:tc>
        <w:tc>
          <w:tcPr>
            <w:tcW w:w="114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Уповноважені</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особи,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 xml:space="preserve"> </w:t>
            </w:r>
            <w:r>
              <w:rPr>
                <w:rFonts w:eastAsia="Calibri" w:cs="Times New Roman" w:ascii="Times New Roman" w:hAnsi="Times New Roman"/>
                <w:kern w:val="0"/>
                <w:sz w:val="24"/>
                <w:szCs w:val="24"/>
                <w:lang w:eastAsia="en-US" w:bidi="ar-SA"/>
              </w:rPr>
              <w:t>керівники</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самостійних</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структурних підрозділів Головного управління</w:t>
            </w:r>
          </w:p>
        </w:tc>
        <w:tc>
          <w:tcPr>
            <w:tcW w:w="929"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щопівроку</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(за наявності підстав)</w:t>
            </w:r>
          </w:p>
        </w:tc>
        <w:tc>
          <w:tcPr>
            <w:tcW w:w="108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2023</w:t>
            </w:r>
          </w:p>
        </w:tc>
        <w:tc>
          <w:tcPr>
            <w:tcW w:w="1530"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eastAsia="en-US" w:bidi="ar-SA"/>
              </w:rPr>
              <w:t>Виконано</w:t>
            </w:r>
          </w:p>
        </w:tc>
        <w:tc>
          <w:tcPr>
            <w:tcW w:w="4614" w:type="dxa"/>
            <w:tcBorders>
              <w:right w:val="nil"/>
            </w:tcBorders>
          </w:tcPr>
          <w:p>
            <w:pPr>
              <w:pStyle w:val="Normal"/>
              <w:widowControl w:val="false"/>
              <w:tabs>
                <w:tab w:val="clear" w:pos="708"/>
                <w:tab w:val="left" w:pos="9639" w:leader="none"/>
              </w:tabs>
              <w:suppressAutoHyphens w:val="true"/>
              <w:spacing w:lineRule="auto" w:line="240" w:before="0" w:after="0"/>
              <w:jc w:val="both"/>
              <w:rPr>
                <w:rFonts w:ascii="Times New Roman" w:hAnsi="Times New Roman" w:cs="Times New Roman"/>
                <w:b w:val="false"/>
                <w:b w:val="false"/>
                <w:bCs w:val="false"/>
                <w:sz w:val="28"/>
                <w:szCs w:val="28"/>
              </w:rPr>
            </w:pPr>
            <w:r>
              <w:rPr>
                <w:rFonts w:eastAsia="Calibri" w:cs="Times New Roman" w:ascii="Times New Roman" w:hAnsi="Times New Roman"/>
                <w:b w:val="false"/>
                <w:bCs w:val="false"/>
                <w:kern w:val="0"/>
                <w:sz w:val="24"/>
                <w:szCs w:val="24"/>
                <w:lang w:eastAsia="en-US" w:bidi="ar-SA"/>
              </w:rPr>
              <w:t>Здійснюється аналіз причин відсутності достатньої кількості учасників процедури закупівлі. Відділом організації правової роботи в листопаді 2023 року проведено планову тематичну перевірку сектору договірної роботи та за її результатами складено довідку від 14.11.2023 №11670/08-16.</w:t>
            </w:r>
          </w:p>
        </w:tc>
        <w:tc>
          <w:tcPr>
            <w:tcW w:w="1414" w:type="dxa"/>
            <w:tcBorders/>
          </w:tcPr>
          <w:p>
            <w:pPr>
              <w:pStyle w:val="Normal"/>
              <w:widowControl w:val="false"/>
              <w:tabs>
                <w:tab w:val="clear" w:pos="708"/>
                <w:tab w:val="left" w:pos="9639" w:leader="none"/>
              </w:tabs>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bl>
    <w:p>
      <w:pPr>
        <w:pStyle w:val="Normal"/>
        <w:tabs>
          <w:tab w:val="clear" w:pos="708"/>
          <w:tab w:val="left" w:pos="9639"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693" w:leader="none"/>
        </w:tabs>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0" distT="0" distB="0" distL="0" distR="0" simplePos="0" locked="0" layoutInCell="0" allowOverlap="1" relativeHeight="2" wp14:anchorId="14CB8C5F">
                <wp:simplePos x="0" y="0"/>
                <wp:positionH relativeFrom="column">
                  <wp:posOffset>1884045</wp:posOffset>
                </wp:positionH>
                <wp:positionV relativeFrom="paragraph">
                  <wp:posOffset>95250</wp:posOffset>
                </wp:positionV>
                <wp:extent cx="5277485" cy="1270"/>
                <wp:effectExtent l="0" t="0" r="12065" b="19050"/>
                <wp:wrapNone/>
                <wp:docPr id="1" name="Прямая соединительная линия 1"/>
                <a:graphic xmlns:a="http://schemas.openxmlformats.org/drawingml/2006/main">
                  <a:graphicData uri="http://schemas.microsoft.com/office/word/2010/wordprocessingShape">
                    <wps:wsp>
                      <wps:cNvSpPr/>
                      <wps:spPr>
                        <a:xfrm>
                          <a:off x="0" y="0"/>
                          <a:ext cx="5276880" cy="0"/>
                        </a:xfrm>
                        <a:prstGeom prst="line">
                          <a:avLst/>
                        </a:prstGeom>
                        <a:ln>
                          <a:solidFill>
                            <a:schemeClr val="tx1"/>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8.35pt,7.5pt" to="563.8pt,7.5pt" ID="Прямая соединительная линия 1" stroked="t" style="position:absolute" wp14:anchorId="14CB8C5F">
                <v:stroke color="black" weight="9360" joinstyle="round" endcap="flat"/>
                <v:fill o:detectmouseclick="t" on="false"/>
              </v:line>
            </w:pict>
          </mc:Fallback>
        </mc:AlternateContent>
      </w:r>
    </w:p>
    <w:p>
      <w:pPr>
        <w:pStyle w:val="Normal"/>
        <w:spacing w:before="0" w:after="200"/>
        <w:rPr>
          <w:rFonts w:ascii="Times New Roman" w:hAnsi="Times New Roman" w:cs="Times New Roman"/>
          <w:sz w:val="24"/>
          <w:szCs w:val="24"/>
        </w:rPr>
      </w:pPr>
      <w:r>
        <w:rPr/>
      </w:r>
    </w:p>
    <w:sectPr>
      <w:headerReference w:type="default" r:id="rId3"/>
      <w:type w:val="nextPage"/>
      <w:pgSz w:orient="landscape" w:w="16838" w:h="11906"/>
      <w:pgMar w:left="1701" w:right="567" w:header="708"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65269232"/>
    </w:sdtPr>
    <w:sdtContent>
      <w:p>
        <w:pPr>
          <w:pStyle w:val="Style24"/>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46</w:t>
        </w:r>
        <w:r>
          <w:rPr>
            <w:rFonts w:cs="Times New Roman" w:ascii="Times New Roman" w:hAnsi="Times New Roman"/>
          </w:rPr>
          <w:fldChar w:fldCharType="end"/>
        </w:r>
      </w:p>
    </w:sdtContent>
  </w:sdt>
  <w:tbl>
    <w:tblPr>
      <w:tblStyle w:val="a3"/>
      <w:tblW w:w="1395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58"/>
      <w:gridCol w:w="2882"/>
      <w:gridCol w:w="1169"/>
      <w:gridCol w:w="900"/>
      <w:gridCol w:w="1081"/>
      <w:gridCol w:w="1529"/>
      <w:gridCol w:w="6030"/>
    </w:tblGrid>
    <w:tr>
      <w:trPr/>
      <w:tc>
        <w:tcPr>
          <w:tcW w:w="358"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1</w:t>
          </w:r>
        </w:p>
      </w:tc>
      <w:tc>
        <w:tcPr>
          <w:tcW w:w="2882"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2</w:t>
          </w:r>
        </w:p>
      </w:tc>
      <w:tc>
        <w:tcPr>
          <w:tcW w:w="1169"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3</w:t>
          </w:r>
        </w:p>
      </w:tc>
      <w:tc>
        <w:tcPr>
          <w:tcW w:w="900"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4</w:t>
          </w:r>
        </w:p>
      </w:tc>
      <w:tc>
        <w:tcPr>
          <w:tcW w:w="1081"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5</w:t>
          </w:r>
        </w:p>
      </w:tc>
      <w:tc>
        <w:tcPr>
          <w:tcW w:w="1529" w:type="dxa"/>
          <w:tcBorders/>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6</w:t>
          </w:r>
        </w:p>
      </w:tc>
      <w:tc>
        <w:tcPr>
          <w:tcW w:w="6030" w:type="dxa"/>
          <w:tcBorders/>
        </w:tcPr>
        <w:p>
          <w:pPr>
            <w:pStyle w:val="Normal"/>
            <w:widowControl w:val="false"/>
            <w:suppressAutoHyphens w:val="true"/>
            <w:spacing w:lineRule="auto" w:line="240" w:before="0" w:after="0"/>
            <w:jc w:val="center"/>
            <w:rPr>
              <w:rFonts w:ascii="Times New Roman" w:hAnsi="Times New Roman" w:cs="Times New Roman"/>
              <w:b/>
              <w:b/>
              <w:sz w:val="28"/>
              <w:szCs w:val="28"/>
            </w:rPr>
          </w:pPr>
          <w:r>
            <w:rPr>
              <w:rFonts w:eastAsia="Calibri" w:cs="Times New Roman" w:ascii="Times New Roman" w:hAnsi="Times New Roman"/>
              <w:b/>
              <w:kern w:val="0"/>
              <w:sz w:val="28"/>
              <w:szCs w:val="28"/>
              <w:lang w:eastAsia="en-US" w:bidi="ar-SA"/>
            </w:rPr>
            <w:t>7</w:t>
          </w:r>
        </w:p>
      </w:tc>
    </w:tr>
  </w:tbl>
  <w:p>
    <w:pPr>
      <w:pStyle w:val="Style24"/>
      <w:rPr>
        <w:rFonts w:ascii="Times New Roman" w:hAnsi="Times New Roman" w:cs="Times New Roman"/>
        <w:sz w:val="2"/>
        <w:szCs w:val="2"/>
      </w:rPr>
    </w:pPr>
    <w:r>
      <w:rPr>
        <w:rFonts w:cs="Times New Roman" w:ascii="Times New Roman" w:hAnsi="Times New Roman"/>
        <w:sz w:val="2"/>
        <w:szCs w:val="2"/>
      </w:rPr>
    </w:r>
  </w:p>
</w:hdr>
</file>

<file path=word/settings.xml><?xml version="1.0" encoding="utf-8"?>
<w:settings xmlns:w="http://schemas.openxmlformats.org/wordprocessingml/2006/main">
  <w:zoom w:percent="9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4"/>
    <w:uiPriority w:val="99"/>
    <w:qFormat/>
    <w:rsid w:val="0047313b"/>
    <w:rPr>
      <w:lang w:val="uk-UA"/>
    </w:rPr>
  </w:style>
  <w:style w:type="character" w:styleId="Style15" w:customStyle="1">
    <w:name w:val="Нижний колонтитул Знак"/>
    <w:basedOn w:val="DefaultParagraphFont"/>
    <w:link w:val="a6"/>
    <w:uiPriority w:val="99"/>
    <w:qFormat/>
    <w:rsid w:val="0047313b"/>
    <w:rPr>
      <w:lang w:val="uk-UA"/>
    </w:rPr>
  </w:style>
  <w:style w:type="character" w:styleId="Style16">
    <w:name w:val="Гіперпосилання"/>
    <w:basedOn w:val="DefaultParagraphFont"/>
    <w:uiPriority w:val="99"/>
    <w:unhideWhenUsed/>
    <w:rsid w:val="006a0292"/>
    <w:rPr>
      <w:color w:val="0000FF" w:themeColor="hyperlink"/>
      <w:u w:val="single"/>
    </w:rPr>
  </w:style>
  <w:style w:type="character" w:styleId="Style17" w:customStyle="1">
    <w:name w:val="Текст выноски Знак"/>
    <w:basedOn w:val="DefaultParagraphFont"/>
    <w:link w:val="a9"/>
    <w:uiPriority w:val="99"/>
    <w:semiHidden/>
    <w:qFormat/>
    <w:rsid w:val="008e5400"/>
    <w:rPr>
      <w:rFonts w:ascii="Tahoma" w:hAnsi="Tahoma" w:cs="Tahoma"/>
      <w:sz w:val="16"/>
      <w:szCs w:val="16"/>
      <w:lang w:val="uk-UA"/>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Покажчик"/>
    <w:basedOn w:val="Normal"/>
    <w:qFormat/>
    <w:pPr>
      <w:suppressLineNumbers/>
    </w:pPr>
    <w:rPr>
      <w:rFonts w:cs="Arial"/>
    </w:rPr>
  </w:style>
  <w:style w:type="paragraph" w:styleId="Style23">
    <w:name w:val="Верхній і нижній колонтитули"/>
    <w:basedOn w:val="Normal"/>
    <w:qFormat/>
    <w:pPr/>
    <w:rPr/>
  </w:style>
  <w:style w:type="paragraph" w:styleId="Style24">
    <w:name w:val="Header"/>
    <w:basedOn w:val="Normal"/>
    <w:link w:val="a5"/>
    <w:uiPriority w:val="99"/>
    <w:unhideWhenUsed/>
    <w:rsid w:val="0047313b"/>
    <w:pPr>
      <w:tabs>
        <w:tab w:val="clear" w:pos="708"/>
        <w:tab w:val="center" w:pos="4677" w:leader="none"/>
        <w:tab w:val="right" w:pos="9355" w:leader="none"/>
      </w:tabs>
      <w:spacing w:lineRule="auto" w:line="240" w:before="0" w:after="0"/>
    </w:pPr>
    <w:rPr/>
  </w:style>
  <w:style w:type="paragraph" w:styleId="Style25">
    <w:name w:val="Footer"/>
    <w:basedOn w:val="Normal"/>
    <w:link w:val="a7"/>
    <w:uiPriority w:val="99"/>
    <w:unhideWhenUsed/>
    <w:rsid w:val="0047313b"/>
    <w:pPr>
      <w:tabs>
        <w:tab w:val="clear" w:pos="708"/>
        <w:tab w:val="center" w:pos="4677" w:leader="none"/>
        <w:tab w:val="right" w:pos="9355" w:leader="none"/>
      </w:tabs>
      <w:spacing w:lineRule="auto" w:line="240" w:before="0" w:after="0"/>
    </w:pPr>
    <w:rPr/>
  </w:style>
  <w:style w:type="paragraph" w:styleId="BalloonText">
    <w:name w:val="Balloon Text"/>
    <w:basedOn w:val="Normal"/>
    <w:link w:val="aa"/>
    <w:uiPriority w:val="99"/>
    <w:semiHidden/>
    <w:unhideWhenUsed/>
    <w:qFormat/>
    <w:rsid w:val="008e5400"/>
    <w:pPr>
      <w:spacing w:lineRule="auto" w:line="240" w:before="0" w:after="0"/>
    </w:pPr>
    <w:rPr>
      <w:rFonts w:ascii="Tahoma" w:hAnsi="Tahoma" w:cs="Tahoma"/>
      <w:sz w:val="16"/>
      <w:szCs w:val="16"/>
    </w:rPr>
  </w:style>
  <w:style w:type="paragraph" w:styleId="Style26">
    <w:name w:val="Вміст таблиці"/>
    <w:basedOn w:val="Normal"/>
    <w:qFormat/>
    <w:pPr>
      <w:widowControl w:val="false"/>
      <w:suppressLineNumbers/>
    </w:pPr>
    <w:rPr/>
  </w:style>
  <w:style w:type="paragraph" w:styleId="Style27">
    <w:name w:val="Заголовок таблиці"/>
    <w:basedOn w:val="Style26"/>
    <w:qFormat/>
    <w:pPr>
      <w:suppressLineNumbers/>
      <w:jc w:val="center"/>
    </w:pPr>
    <w:rPr>
      <w:b/>
      <w:bCs/>
    </w:rPr>
  </w:style>
  <w:style w:type="paragraph" w:styleId="NoSpacing">
    <w:name w:val="No Spacing"/>
    <w:qFormat/>
    <w:pPr>
      <w:widowControl/>
      <w:suppressAutoHyphens w:val="true"/>
      <w:bidi w:val="0"/>
      <w:spacing w:lineRule="auto" w:line="240" w:before="0" w:after="0"/>
      <w:jc w:val="left"/>
    </w:pPr>
    <w:rPr>
      <w:rFonts w:ascii="Times New Roman" w:hAnsi="Times New Roman" w:eastAsia="Calibri" w:cs="Calibri" w:cstheme="minorHAnsi" w:eastAsiaTheme="minorHAnsi"/>
      <w:color w:val="auto"/>
      <w:kern w:val="0"/>
      <w:sz w:val="28"/>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e838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pecifications.prozorr/"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4077</TotalTime>
  <Application>LibreOffice/7.0.1.2$Windows_x86 LibreOffice_project/7cbcfc562f6eb6708b5ff7d7397325de9e764452</Application>
  <Pages>46</Pages>
  <Words>7839</Words>
  <Characters>55600</Characters>
  <CharactersWithSpaces>62617</CharactersWithSpaces>
  <Paragraphs>900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2021-11-17T08:19:00Z</dcterms:created>
  <dc:creator>Lungul</dc:creator>
  <dc:description/>
  <dc:language>en-US</dc:language>
  <cp:lastModifiedBy/>
  <cp:lastPrinted>2023-07-14T16:46:58Z</cp:lastPrinted>
  <dcterms:modified xsi:type="dcterms:W3CDTF">2024-01-15T09:49:06Z</dcterms:modified>
  <cp:revision>234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