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Інформація про виконання графіку</w:t>
      </w:r>
    </w:p>
    <w:p>
      <w:pPr>
        <w:pStyle w:val="NoSpacing"/>
        <w:jc w:val="center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проведення внутрішніх навчань</w:t>
      </w:r>
    </w:p>
    <w:p>
      <w:pPr>
        <w:pStyle w:val="NoSpacing"/>
        <w:jc w:val="center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сектором з питань запобігання та виявлення корупції</w:t>
      </w:r>
    </w:p>
    <w:p>
      <w:pPr>
        <w:pStyle w:val="NoSpacing"/>
        <w:jc w:val="center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Головного управління Пенсійного фонду України в Закарпатській області у 2024–2025 роках</w:t>
      </w:r>
    </w:p>
    <w:p>
      <w:pPr>
        <w:pStyle w:val="NoSpacing"/>
        <w:jc w:val="center"/>
        <w:rPr>
          <w:sz w:val="28"/>
          <w:szCs w:val="28"/>
        </w:rPr>
      </w:pPr>
      <w:r>
        <w:rPr>
          <w:rFonts w:cs="Times New Roman"/>
          <w:b/>
          <w:sz w:val="28"/>
          <w:szCs w:val="28"/>
          <w:lang w:val="uk-UA"/>
        </w:rPr>
        <w:t>за 2025 р</w:t>
      </w:r>
      <w:r>
        <w:rPr>
          <w:rFonts w:cs="Times New Roman"/>
          <w:b/>
          <w:sz w:val="28"/>
          <w:szCs w:val="28"/>
          <w:lang w:val="uk-UA"/>
        </w:rPr>
        <w:t>і</w:t>
      </w:r>
      <w:r>
        <w:rPr>
          <w:rFonts w:cs="Times New Roman"/>
          <w:b/>
          <w:sz w:val="28"/>
          <w:szCs w:val="28"/>
          <w:lang w:val="uk-UA"/>
        </w:rPr>
        <w:t>к</w:t>
      </w:r>
    </w:p>
    <w:p>
      <w:pPr>
        <w:pStyle w:val="NoSpacing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(відповідно до додатка 5 Антикорупційної програми Пенсійного фонду України та його територіальних органів на 2024–2025 роки)</w:t>
      </w:r>
    </w:p>
    <w:p>
      <w:pPr>
        <w:pStyle w:val="NoSpacing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tbl>
      <w:tblPr>
        <w:tblStyle w:val="a4"/>
        <w:tblW w:w="16132" w:type="dxa"/>
        <w:jc w:val="left"/>
        <w:tblInd w:w="-12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2"/>
        <w:gridCol w:w="1048"/>
        <w:gridCol w:w="1843"/>
        <w:gridCol w:w="1134"/>
        <w:gridCol w:w="824"/>
        <w:gridCol w:w="971"/>
        <w:gridCol w:w="1697"/>
        <w:gridCol w:w="1328"/>
        <w:gridCol w:w="2068"/>
        <w:gridCol w:w="1763"/>
        <w:gridCol w:w="2972"/>
      </w:tblGrid>
      <w:tr>
        <w:trPr>
          <w:tblHeader w:val="true"/>
          <w:trHeight w:val="269" w:hRule="atLeast"/>
        </w:trPr>
        <w:tc>
          <w:tcPr>
            <w:tcW w:w="482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uk-UA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uk-UA" w:eastAsia="en-US" w:bidi="ar-SA"/>
              </w:rPr>
              <w:t>з/п</w:t>
            </w:r>
          </w:p>
        </w:tc>
        <w:tc>
          <w:tcPr>
            <w:tcW w:w="1048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uk-UA" w:eastAsia="en-US" w:bidi="ar-SA"/>
              </w:rPr>
              <w:t>Термін</w:t>
            </w:r>
          </w:p>
        </w:tc>
        <w:tc>
          <w:tcPr>
            <w:tcW w:w="1843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uk-UA" w:eastAsia="en-US" w:bidi="ar-SA"/>
              </w:rPr>
              <w:t>Назва теми</w:t>
            </w:r>
          </w:p>
        </w:tc>
        <w:tc>
          <w:tcPr>
            <w:tcW w:w="1134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uk-UA" w:eastAsia="en-US" w:bidi="ar-SA"/>
              </w:rPr>
              <w:t>Тип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uk-UA" w:eastAsia="en-US" w:bidi="ar-SA"/>
              </w:rPr>
              <w:t>заходу</w:t>
            </w:r>
          </w:p>
        </w:tc>
        <w:tc>
          <w:tcPr>
            <w:tcW w:w="1795" w:type="dxa"/>
            <w:gridSpan w:val="2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uk-UA" w:eastAsia="en-US" w:bidi="ar-SA"/>
              </w:rPr>
              <w:t>Години навчань</w:t>
            </w:r>
          </w:p>
        </w:tc>
        <w:tc>
          <w:tcPr>
            <w:tcW w:w="1697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uk-UA" w:eastAsia="en-US" w:bidi="ar-SA"/>
              </w:rPr>
              <w:t>Цільова аудиторія</w:t>
            </w:r>
          </w:p>
        </w:tc>
        <w:tc>
          <w:tcPr>
            <w:tcW w:w="132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uk-UA" w:eastAsia="en-US" w:bidi="ar-SA"/>
              </w:rPr>
              <w:t>Кількість осіб, які взяли участь у заході</w:t>
            </w:r>
          </w:p>
        </w:tc>
        <w:tc>
          <w:tcPr>
            <w:tcW w:w="20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uk-UA" w:eastAsia="en-US" w:bidi="ar-SA"/>
              </w:rPr>
              <w:t>Особи, відповідальні за проведення заходу</w:t>
            </w:r>
          </w:p>
        </w:tc>
        <w:tc>
          <w:tcPr>
            <w:tcW w:w="1763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uk-UA" w:eastAsia="en-US" w:bidi="ar-SA"/>
              </w:rPr>
              <w:t>Спосіб перевірки рівня знань</w:t>
            </w:r>
          </w:p>
        </w:tc>
        <w:tc>
          <w:tcPr>
            <w:tcW w:w="2972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uk-UA" w:eastAsia="en-US" w:bidi="ar-SA"/>
              </w:rPr>
              <w:t>Індикатор виконання</w:t>
            </w:r>
          </w:p>
        </w:tc>
      </w:tr>
      <w:tr>
        <w:trPr>
          <w:trHeight w:val="269" w:hRule="atLeast"/>
        </w:trPr>
        <w:tc>
          <w:tcPr>
            <w:tcW w:w="482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1048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1843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8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uk-UA" w:eastAsia="en-US" w:bidi="ar-SA"/>
              </w:rPr>
              <w:t>навчання</w:t>
            </w:r>
          </w:p>
        </w:tc>
        <w:tc>
          <w:tcPr>
            <w:tcW w:w="97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uk-UA" w:eastAsia="en-US" w:bidi="ar-SA"/>
              </w:rPr>
              <w:t>самостійна робота</w:t>
            </w:r>
          </w:p>
        </w:tc>
        <w:tc>
          <w:tcPr>
            <w:tcW w:w="1697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132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20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1763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2972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</w:r>
          </w:p>
        </w:tc>
      </w:tr>
      <w:tr>
        <w:trPr>
          <w:trHeight w:val="269" w:hRule="atLeast"/>
        </w:trPr>
        <w:tc>
          <w:tcPr>
            <w:tcW w:w="48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104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184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8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97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169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132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20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176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297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11</w:t>
            </w:r>
            <w:bookmarkStart w:id="0" w:name="_GoBack"/>
            <w:bookmarkEnd w:id="0"/>
          </w:p>
        </w:tc>
      </w:tr>
      <w:tr>
        <w:trPr>
          <w:trHeight w:val="2466" w:hRule="atLeast"/>
        </w:trPr>
        <w:tc>
          <w:tcPr>
            <w:tcW w:w="48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</w:t>
            </w:r>
          </w:p>
        </w:tc>
        <w:tc>
          <w:tcPr>
            <w:tcW w:w="104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DejaVu Sans" w:cs="Times New Roman" w:ascii="Times New Roman" w:hAnsi="Times New Roman" w:eastAsiaTheme="minorEastAsia"/>
                <w:kern w:val="0"/>
                <w:sz w:val="24"/>
                <w:szCs w:val="24"/>
                <w:lang w:val="uk-UA" w:eastAsia="ko-KR" w:bidi="ar-SA"/>
              </w:rPr>
              <w:t>Січень 2025 року</w:t>
            </w:r>
          </w:p>
        </w:tc>
        <w:tc>
          <w:tcPr>
            <w:tcW w:w="184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Дотримання вимог фінансового контролю</w:t>
            </w:r>
          </w:p>
        </w:tc>
        <w:tc>
          <w:tcPr>
            <w:tcW w:w="113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Тренінг</w:t>
            </w:r>
          </w:p>
        </w:tc>
        <w:tc>
          <w:tcPr>
            <w:tcW w:w="8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 год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97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30 хв</w:t>
            </w:r>
          </w:p>
        </w:tc>
        <w:tc>
          <w:tcPr>
            <w:tcW w:w="1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Працівники</w:t>
            </w:r>
          </w:p>
          <w:p>
            <w:pPr>
              <w:pStyle w:val="NoSpacing"/>
              <w:widowControl/>
              <w:tabs>
                <w:tab w:val="clear" w:pos="708"/>
                <w:tab w:val="left" w:pos="555" w:leader="none"/>
                <w:tab w:val="center" w:pos="741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ГУ</w:t>
            </w:r>
          </w:p>
        </w:tc>
        <w:tc>
          <w:tcPr>
            <w:tcW w:w="132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94</w:t>
            </w:r>
          </w:p>
        </w:tc>
        <w:tc>
          <w:tcPr>
            <w:tcW w:w="20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left="-107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Петришинець Л.В.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left="-107" w:right="-16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76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Тестування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DejaVu Sans" w:cs="Times New Roman" w:ascii="Times New Roman" w:hAnsi="Times New Roman" w:eastAsiaTheme="minorEastAsia"/>
                <w:kern w:val="0"/>
                <w:sz w:val="24"/>
                <w:szCs w:val="24"/>
                <w:lang w:val="uk-UA" w:eastAsia="ko-KR" w:bidi="ar-SA"/>
              </w:rPr>
              <w:t>та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опитування (анкетування)</w:t>
            </w:r>
          </w:p>
        </w:tc>
        <w:tc>
          <w:tcPr>
            <w:tcW w:w="297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1. Сформовано перелік слухачів.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2. Проведено тестування слухачів для встановлення рівня (балу) засвоєння навчального матеріалу.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3. Проведено опитування (анкетування) щодо встановлення рівня якості організації та проведення навчального заходу, рівня професійної компетентності тренера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rPr>
          <w:trHeight w:val="1088" w:hRule="atLeast"/>
        </w:trPr>
        <w:tc>
          <w:tcPr>
            <w:tcW w:w="48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2</w:t>
            </w:r>
          </w:p>
        </w:tc>
        <w:tc>
          <w:tcPr>
            <w:tcW w:w="104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DejaVu Sans" w:cs="Times New Roman" w:ascii="Times New Roman" w:hAnsi="Times New Roman" w:eastAsiaTheme="minorEastAsia"/>
                <w:kern w:val="0"/>
                <w:sz w:val="24"/>
                <w:szCs w:val="24"/>
                <w:lang w:val="uk-UA" w:eastAsia="ko-KR" w:bidi="ar-SA"/>
              </w:rPr>
              <w:t>Лютий 2025 року</w:t>
            </w:r>
          </w:p>
        </w:tc>
        <w:tc>
          <w:tcPr>
            <w:tcW w:w="184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Дотримання вимог фінансового контролю</w:t>
            </w:r>
          </w:p>
        </w:tc>
        <w:tc>
          <w:tcPr>
            <w:tcW w:w="113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Тренінг</w:t>
            </w:r>
          </w:p>
        </w:tc>
        <w:tc>
          <w:tcPr>
            <w:tcW w:w="8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 год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97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30 хв</w:t>
            </w:r>
          </w:p>
        </w:tc>
        <w:tc>
          <w:tcPr>
            <w:tcW w:w="1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Працівники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ГУ</w:t>
            </w:r>
          </w:p>
        </w:tc>
        <w:tc>
          <w:tcPr>
            <w:tcW w:w="132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143</w:t>
            </w:r>
          </w:p>
        </w:tc>
        <w:tc>
          <w:tcPr>
            <w:tcW w:w="20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Петришинець Л.В.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right="-16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76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Тестування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опитування (анкетування)</w:t>
            </w:r>
          </w:p>
        </w:tc>
        <w:tc>
          <w:tcPr>
            <w:tcW w:w="297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1. Сформовано перелік слухачів.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2. Проведено тестування слухачів для встановлення рівня (балу) засвоєння навчального матеріалу.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3. Проведено опитування (анкетування) щодо встановлення рівня якості організації та проведення навчального заходу, рівня професійної компетентності тренера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rPr>
          <w:trHeight w:val="3815" w:hRule="atLeast"/>
        </w:trPr>
        <w:tc>
          <w:tcPr>
            <w:tcW w:w="48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</w:t>
            </w:r>
          </w:p>
        </w:tc>
        <w:tc>
          <w:tcPr>
            <w:tcW w:w="104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DejaVu Sans" w:cs="Times New Roman" w:ascii="Times New Roman" w:hAnsi="Times New Roman" w:eastAsiaTheme="minorEastAsia"/>
                <w:kern w:val="0"/>
                <w:sz w:val="24"/>
                <w:szCs w:val="24"/>
                <w:lang w:val="uk-UA" w:eastAsia="ko-KR" w:bidi="ar-SA"/>
              </w:rPr>
              <w:t>Березень 2025 року</w:t>
            </w:r>
          </w:p>
        </w:tc>
        <w:tc>
          <w:tcPr>
            <w:tcW w:w="184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Дотримання вимог фінансового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контролю відповідно до Закону України «Про запобігання корупції»</w:t>
            </w:r>
          </w:p>
        </w:tc>
        <w:tc>
          <w:tcPr>
            <w:tcW w:w="113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Лекція</w:t>
            </w:r>
          </w:p>
        </w:tc>
        <w:tc>
          <w:tcPr>
            <w:tcW w:w="8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 год</w:t>
            </w:r>
          </w:p>
        </w:tc>
        <w:tc>
          <w:tcPr>
            <w:tcW w:w="97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30 хв</w:t>
            </w:r>
          </w:p>
        </w:tc>
        <w:tc>
          <w:tcPr>
            <w:tcW w:w="1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Працівники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ГУ</w:t>
            </w:r>
          </w:p>
        </w:tc>
        <w:tc>
          <w:tcPr>
            <w:tcW w:w="132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402</w:t>
            </w:r>
          </w:p>
        </w:tc>
        <w:tc>
          <w:tcPr>
            <w:tcW w:w="20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Кишко Є.Б.</w:t>
            </w:r>
          </w:p>
        </w:tc>
        <w:tc>
          <w:tcPr>
            <w:tcW w:w="176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Тестування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опитування (анкетування)</w:t>
            </w:r>
          </w:p>
        </w:tc>
        <w:tc>
          <w:tcPr>
            <w:tcW w:w="297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1. Сформовано перелік слухачів.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2. Проведено тестування слухачів для встановлення рівня (балу) засвоєння навчального матеріалу.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3. Проведено опитування (анкетування) щодо встановлення рівня якості організації та проведення навчального заходу, рівня професійної компетентності тренера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rPr>
          <w:trHeight w:val="1375" w:hRule="atLeast"/>
        </w:trPr>
        <w:tc>
          <w:tcPr>
            <w:tcW w:w="48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4</w:t>
            </w:r>
          </w:p>
        </w:tc>
        <w:tc>
          <w:tcPr>
            <w:tcW w:w="104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DejaVu Sans" w:cs="Times New Roman" w:ascii="Times New Roman" w:hAnsi="Times New Roman" w:eastAsiaTheme="minorEastAsia"/>
                <w:kern w:val="0"/>
                <w:sz w:val="24"/>
                <w:szCs w:val="24"/>
                <w:lang w:val="uk-UA" w:eastAsia="ko-KR" w:bidi="ar-SA"/>
              </w:rPr>
              <w:t>Березень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DejaVu Sans" w:cs="Times New Roman" w:ascii="Times New Roman" w:hAnsi="Times New Roman" w:eastAsiaTheme="minorEastAsia"/>
                <w:kern w:val="0"/>
                <w:sz w:val="24"/>
                <w:szCs w:val="24"/>
                <w:lang w:val="uk-UA" w:eastAsia="ko-KR" w:bidi="ar-SA"/>
              </w:rPr>
              <w:t>2025 року</w:t>
            </w:r>
          </w:p>
        </w:tc>
        <w:tc>
          <w:tcPr>
            <w:tcW w:w="184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Правила етичної поведінки</w:t>
            </w:r>
          </w:p>
        </w:tc>
        <w:tc>
          <w:tcPr>
            <w:tcW w:w="113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Лекція</w:t>
            </w:r>
          </w:p>
        </w:tc>
        <w:tc>
          <w:tcPr>
            <w:tcW w:w="8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 год</w:t>
            </w:r>
          </w:p>
        </w:tc>
        <w:tc>
          <w:tcPr>
            <w:tcW w:w="97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30 хв</w:t>
            </w:r>
          </w:p>
        </w:tc>
        <w:tc>
          <w:tcPr>
            <w:tcW w:w="1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Працівники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ГУ</w:t>
            </w:r>
          </w:p>
        </w:tc>
        <w:tc>
          <w:tcPr>
            <w:tcW w:w="132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83</w:t>
            </w:r>
          </w:p>
        </w:tc>
        <w:tc>
          <w:tcPr>
            <w:tcW w:w="20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Петришинець Л.В.</w:t>
            </w:r>
          </w:p>
        </w:tc>
        <w:tc>
          <w:tcPr>
            <w:tcW w:w="176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Тестування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опитування (анкетування)</w:t>
            </w:r>
          </w:p>
        </w:tc>
        <w:tc>
          <w:tcPr>
            <w:tcW w:w="297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1. Сформовано перелік слухачів.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2. Проведено тестування слухачів для встановлення рівня (балу) засвоєння навчального матеріалу.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3. Проведено опитування (анкетування) щодо встановлення рівня якості організації та проведення навчального заходу, рівня професійної компетентності тренера</w:t>
            </w:r>
          </w:p>
        </w:tc>
      </w:tr>
      <w:tr>
        <w:trPr>
          <w:trHeight w:val="1629" w:hRule="atLeast"/>
        </w:trPr>
        <w:tc>
          <w:tcPr>
            <w:tcW w:w="48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5</w:t>
            </w:r>
          </w:p>
        </w:tc>
        <w:tc>
          <w:tcPr>
            <w:tcW w:w="104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Травень 2025 року</w:t>
            </w:r>
          </w:p>
        </w:tc>
        <w:tc>
          <w:tcPr>
            <w:tcW w:w="184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Запобігання та врегулювання конфлікту інтересів</w:t>
            </w:r>
          </w:p>
        </w:tc>
        <w:tc>
          <w:tcPr>
            <w:tcW w:w="113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0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Тренінг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right="-10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(з моделюванням ситуацій)</w:t>
            </w:r>
          </w:p>
        </w:tc>
        <w:tc>
          <w:tcPr>
            <w:tcW w:w="8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 год</w:t>
            </w:r>
          </w:p>
        </w:tc>
        <w:tc>
          <w:tcPr>
            <w:tcW w:w="97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30 хв</w:t>
            </w:r>
          </w:p>
        </w:tc>
        <w:tc>
          <w:tcPr>
            <w:tcW w:w="1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Працівники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ГУ</w:t>
            </w:r>
          </w:p>
        </w:tc>
        <w:tc>
          <w:tcPr>
            <w:tcW w:w="132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68</w:t>
            </w:r>
          </w:p>
        </w:tc>
        <w:tc>
          <w:tcPr>
            <w:tcW w:w="20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Кишко Є.Б.</w:t>
            </w:r>
          </w:p>
        </w:tc>
        <w:tc>
          <w:tcPr>
            <w:tcW w:w="176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Тестування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опитування (анкетування)</w:t>
            </w:r>
          </w:p>
        </w:tc>
        <w:tc>
          <w:tcPr>
            <w:tcW w:w="297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1. Сформовано перелік слухачів.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2. Проведено тестування слухачів для встановлення рівня (балу) засвоєння навчального матеріалу.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3. Проведено опитування (анкетування) щодо встановлення рівня якості організації та проведення навчального заходу, рівня професійної компетентності тренера</w:t>
            </w:r>
          </w:p>
        </w:tc>
      </w:tr>
      <w:tr>
        <w:trPr>
          <w:trHeight w:val="2582" w:hRule="atLeast"/>
        </w:trPr>
        <w:tc>
          <w:tcPr>
            <w:tcW w:w="48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6</w:t>
            </w:r>
          </w:p>
        </w:tc>
        <w:tc>
          <w:tcPr>
            <w:tcW w:w="104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липень 2025 року</w:t>
            </w:r>
          </w:p>
        </w:tc>
        <w:tc>
          <w:tcPr>
            <w:tcW w:w="184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Вимоги, заборони та обмеження, встановлені Законом України “Про запобігання корупції”</w:t>
            </w:r>
          </w:p>
        </w:tc>
        <w:tc>
          <w:tcPr>
            <w:tcW w:w="113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Лекція</w:t>
            </w:r>
          </w:p>
        </w:tc>
        <w:tc>
          <w:tcPr>
            <w:tcW w:w="8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 год</w:t>
            </w:r>
          </w:p>
        </w:tc>
        <w:tc>
          <w:tcPr>
            <w:tcW w:w="97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30 хв</w:t>
            </w:r>
          </w:p>
        </w:tc>
        <w:tc>
          <w:tcPr>
            <w:tcW w:w="1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Працівники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ГУ</w:t>
            </w:r>
          </w:p>
        </w:tc>
        <w:tc>
          <w:tcPr>
            <w:tcW w:w="132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191</w:t>
            </w:r>
          </w:p>
        </w:tc>
        <w:tc>
          <w:tcPr>
            <w:tcW w:w="20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Петришинець Л.В.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65"/>
              <w:jc w:val="center"/>
              <w:rPr>
                <w:rFonts w:eastAsia="Calibri" w:cs="Times New Roman"/>
                <w:kern w:val="0"/>
                <w:lang w:val="uk-UA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Тестування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опитування (анкетування)</w:t>
            </w:r>
          </w:p>
        </w:tc>
        <w:tc>
          <w:tcPr>
            <w:tcW w:w="297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1. Сформовано перелік слухачів.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2. Проведено тестування слухачів для встановлення рівня (балу) засвоєння навчального матеріалу.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3. Проведено опитування (анкетування) щодо встановлення рівня якості організації та проведення навчального заходу, рівня професійної компетентності тренера</w:t>
            </w:r>
          </w:p>
        </w:tc>
      </w:tr>
      <w:tr>
        <w:trPr>
          <w:trHeight w:val="374" w:hRule="atLeast"/>
        </w:trPr>
        <w:tc>
          <w:tcPr>
            <w:tcW w:w="482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7</w:t>
            </w:r>
          </w:p>
        </w:tc>
        <w:tc>
          <w:tcPr>
            <w:tcW w:w="1048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left="-55"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вересень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left="-55"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2025 року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Правила етичної поведінки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Лекція</w:t>
            </w:r>
          </w:p>
        </w:tc>
        <w:tc>
          <w:tcPr>
            <w:tcW w:w="824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 год</w:t>
            </w:r>
          </w:p>
        </w:tc>
        <w:tc>
          <w:tcPr>
            <w:tcW w:w="971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30 хв</w:t>
            </w:r>
          </w:p>
        </w:tc>
        <w:tc>
          <w:tcPr>
            <w:tcW w:w="169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Працівники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ГУ</w:t>
            </w:r>
          </w:p>
        </w:tc>
        <w:tc>
          <w:tcPr>
            <w:tcW w:w="1328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24</w:t>
            </w:r>
          </w:p>
        </w:tc>
        <w:tc>
          <w:tcPr>
            <w:tcW w:w="2068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Петришинець Л.В.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3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Тестування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опитування (анкетування)</w:t>
            </w:r>
          </w:p>
        </w:tc>
        <w:tc>
          <w:tcPr>
            <w:tcW w:w="2972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1. Сформовано перелік слухачів.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2. Проведено тестування слухачів для встановлення рівня (балу) засвоєння навчального матеріалу.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3. Проведено опитування (анкетування) щодо встановлення рівня якості організації та проведення навчального заходу, рівня професійної компетентності тренера</w:t>
            </w:r>
          </w:p>
        </w:tc>
      </w:tr>
      <w:tr>
        <w:trPr>
          <w:trHeight w:val="749" w:hRule="atLeast"/>
        </w:trPr>
        <w:tc>
          <w:tcPr>
            <w:tcW w:w="482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048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left="-55"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жовтень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2025 року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Style22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 w:ascii="Times New Roman" w:hAnsi="Times New Roman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shd w:fill="FFFFFF" w:val="clear"/>
                <w:lang w:eastAsia="en-US" w:bidi="ar-SA"/>
              </w:rPr>
              <w:t>Особливості врегулювання конфлікту інтересів в умовах набуття нових функцій органами Пенсійного фонду України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Лекція</w:t>
            </w:r>
          </w:p>
        </w:tc>
        <w:tc>
          <w:tcPr>
            <w:tcW w:w="824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 год</w:t>
            </w:r>
          </w:p>
        </w:tc>
        <w:tc>
          <w:tcPr>
            <w:tcW w:w="971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30 хв</w:t>
            </w:r>
          </w:p>
        </w:tc>
        <w:tc>
          <w:tcPr>
            <w:tcW w:w="169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Працівники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ГУ</w:t>
            </w:r>
          </w:p>
        </w:tc>
        <w:tc>
          <w:tcPr>
            <w:tcW w:w="1328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108</w:t>
            </w:r>
          </w:p>
        </w:tc>
        <w:tc>
          <w:tcPr>
            <w:tcW w:w="2068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Петришинець Л.В.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3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Тестування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та опитування (анкетування)</w:t>
            </w:r>
          </w:p>
        </w:tc>
        <w:tc>
          <w:tcPr>
            <w:tcW w:w="2972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1. Сформовано перелік слухачів.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2. Проведено тестування слухачів для встановлення рівня (балу) засвоєння навчального матеріалу.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3. Проведено опитування (анкетування) щодо встановлення рівня якості організації та проведення навчального заходу, рівня професійної компетентності тренера</w:t>
            </w:r>
          </w:p>
        </w:tc>
      </w:tr>
      <w:tr>
        <w:trPr>
          <w:trHeight w:val="749" w:hRule="atLeast"/>
        </w:trPr>
        <w:tc>
          <w:tcPr>
            <w:tcW w:w="482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9</w:t>
            </w:r>
          </w:p>
        </w:tc>
        <w:tc>
          <w:tcPr>
            <w:tcW w:w="1048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left="-55"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листопад 2025 року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Антикорупційна програма: оцінювання корупційних ризиків, моніторинг виконання та оцінка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Лекція</w:t>
            </w:r>
          </w:p>
        </w:tc>
        <w:tc>
          <w:tcPr>
            <w:tcW w:w="824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 год</w:t>
            </w:r>
          </w:p>
        </w:tc>
        <w:tc>
          <w:tcPr>
            <w:tcW w:w="971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30 хв</w:t>
            </w:r>
          </w:p>
        </w:tc>
        <w:tc>
          <w:tcPr>
            <w:tcW w:w="169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Працівники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ГУ</w:t>
            </w:r>
          </w:p>
        </w:tc>
        <w:tc>
          <w:tcPr>
            <w:tcW w:w="1328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86</w:t>
            </w:r>
          </w:p>
        </w:tc>
        <w:tc>
          <w:tcPr>
            <w:tcW w:w="2068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Петришинець Л.В.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3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Тестування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та опитування (анкетування)</w:t>
            </w:r>
          </w:p>
        </w:tc>
        <w:tc>
          <w:tcPr>
            <w:tcW w:w="2972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1. Сформовано перелік слухачів.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2. Проведено тестування слухачів для встановлення рівня (балу) засвоєння навчального матеріалу.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uk-UA" w:eastAsia="en-US" w:bidi="ar-SA"/>
              </w:rPr>
              <w:t>3. Проведено опитування (анкетування) щодо встановлення рівня якості організації та проведення навчального заходу, рівня професійної компетентності тренера</w:t>
            </w:r>
          </w:p>
        </w:tc>
      </w:tr>
    </w:tbl>
    <w:p>
      <w:pPr>
        <w:pStyle w:val="NoSpacing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Spacing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Spacing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Spacing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Завідувач</w:t>
      </w:r>
      <w:r>
        <w:rPr>
          <w:b/>
          <w:sz w:val="28"/>
          <w:szCs w:val="28"/>
          <w:lang w:val="uk-UA"/>
        </w:rPr>
        <w:t xml:space="preserve"> сектору з питань </w:t>
      </w:r>
    </w:p>
    <w:p>
      <w:pPr>
        <w:pStyle w:val="NoSpacing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запобігання та виявлення корупції                                                                                      </w:t>
      </w:r>
      <w:r>
        <w:rPr>
          <w:b/>
          <w:sz w:val="28"/>
          <w:szCs w:val="28"/>
          <w:lang w:val="uk-UA"/>
        </w:rPr>
        <w:t>Людмила ПЕТРИШИНЕЦЬ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701" w:right="567" w:gutter="0" w:header="709" w:top="1134" w:footer="0" w:bottom="568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52060071"/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lang w:val="uk-UA"/>
          </w:rPr>
          <w:t xml:space="preserve">                                                                                             </w:t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5</w:t>
        </w:r>
        <w:r>
          <w:rPr>
            <w:sz w:val="24"/>
            <w:szCs w:val="24"/>
          </w:rPr>
          <w:fldChar w:fldCharType="end"/>
        </w:r>
        <w:r>
          <w:rPr>
            <w:sz w:val="24"/>
            <w:szCs w:val="24"/>
            <w:lang w:val="uk-UA"/>
          </w:rPr>
          <w:t xml:space="preserve">                                                                                          </w:t>
        </w:r>
        <w:r>
          <w:rPr>
            <w:sz w:val="24"/>
            <w:szCs w:val="24"/>
            <w:lang w:val="uk-UA"/>
          </w:rPr>
          <w:t>Продовження додатка 5</w:t>
        </w:r>
      </w:p>
    </w:sdtContent>
  </w:sdt>
  <w:p>
    <w:pPr>
      <w:pStyle w:val="Header"/>
      <w:rPr>
        <w:sz w:val="24"/>
        <w:szCs w:val="24"/>
      </w:rPr>
    </w:pPr>
    <w:r>
      <w:rPr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ko-KR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" w:cs="Arial" w:cstheme="minorHAns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Arial" w:cs="Arial" w:cstheme="minorHAnsi" w:eastAsiaTheme="minorHAnsi"/>
      <w:color w:val="auto"/>
      <w:kern w:val="0"/>
      <w:sz w:val="28"/>
      <w:szCs w:val="22"/>
      <w:lang w:val="ru-RU" w:eastAsia="en-US" w:bidi="ar-SA"/>
    </w:rPr>
  </w:style>
  <w:style w:type="paragraph" w:styleId="Heading3">
    <w:name w:val="heading 3"/>
    <w:basedOn w:val="Style17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3028f0"/>
    <w:rPr>
      <w:rFonts w:ascii="Segoe UI" w:hAnsi="Segoe UI" w:cs="Segoe UI"/>
      <w:sz w:val="18"/>
      <w:szCs w:val="18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3028f0"/>
    <w:rPr/>
  </w:style>
  <w:style w:type="character" w:styleId="Style15" w:customStyle="1">
    <w:name w:val="Нижний колонтитул Знак"/>
    <w:basedOn w:val="DefaultParagraphFont"/>
    <w:uiPriority w:val="99"/>
    <w:qFormat/>
    <w:rsid w:val="003028f0"/>
    <w:rPr/>
  </w:style>
  <w:style w:type="character" w:styleId="InternetLink">
    <w:name w:val="Internet Link"/>
    <w:qFormat/>
    <w:rPr>
      <w:color w:val="000080"/>
      <w:u w:val="single"/>
    </w:rPr>
  </w:style>
  <w:style w:type="character" w:styleId="cs23fb0664">
    <w:name w:val="cs23fb0664"/>
    <w:basedOn w:val="DefaultParagraphFont"/>
    <w:qFormat/>
    <w:rPr/>
  </w:style>
  <w:style w:type="character" w:styleId="Style16">
    <w:name w:val="Основной текст Знак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b5140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" w:cs="Arial" w:cstheme="minorHAnsi" w:eastAsiaTheme="minorHAnsi"/>
      <w:color w:val="auto"/>
      <w:kern w:val="0"/>
      <w:sz w:val="28"/>
      <w:szCs w:val="22"/>
      <w:lang w:val="ru-RU" w:eastAsia="en-US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3028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3028f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3028f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Revision">
    <w:name w:val="Revision"/>
    <w:uiPriority w:val="99"/>
    <w:semiHidden/>
    <w:qFormat/>
    <w:rsid w:val="00b0601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" w:cs="Arial" w:cstheme="minorHAnsi" w:eastAsiaTheme="minorHAnsi"/>
      <w:color w:val="auto"/>
      <w:kern w:val="0"/>
      <w:sz w:val="28"/>
      <w:szCs w:val="22"/>
      <w:lang w:val="ru-RU" w:eastAsia="en-US" w:bidi="ar-SA"/>
    </w:rPr>
  </w:style>
  <w:style w:type="paragraph" w:styleId="Style19">
    <w:name w:val="Вміст таблиці"/>
    <w:basedOn w:val="Normal"/>
    <w:qFormat/>
    <w:pPr>
      <w:widowControl w:val="false"/>
      <w:suppressLineNumbers/>
    </w:pPr>
    <w:rPr/>
  </w:style>
  <w:style w:type="paragraph" w:styleId="Style20">
    <w:name w:val="Заголовок таблиці"/>
    <w:basedOn w:val="Style19"/>
    <w:qFormat/>
    <w:pPr>
      <w:suppressLineNumbers/>
      <w:jc w:val="center"/>
    </w:pPr>
    <w:rPr>
      <w:b/>
      <w:bCs/>
    </w:rPr>
  </w:style>
  <w:style w:type="paragraph" w:styleId="Style21">
    <w:name w:val="Примітка"/>
    <w:basedOn w:val="Normal"/>
    <w:qFormat/>
    <w:pPr>
      <w:spacing w:before="56" w:after="0"/>
      <w:ind w:left="56" w:right="56"/>
    </w:pPr>
    <w:rPr>
      <w:sz w:val="20"/>
      <w:szCs w:val="20"/>
    </w:rPr>
  </w:style>
  <w:style w:type="paragraph" w:styleId="Standard">
    <w:name w:val="Standard"/>
    <w:qFormat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Liberation Serif" w:hAnsi="Liberation Serif" w:eastAsia="Segoe UI" w:cs="Tahoma"/>
      <w:color w:val="000000"/>
      <w:kern w:val="2"/>
      <w:sz w:val="24"/>
      <w:szCs w:val="24"/>
      <w:lang w:val="uk-UA" w:eastAsia="zh-CN" w:bidi="hi-IN"/>
    </w:rPr>
  </w:style>
  <w:style w:type="paragraph" w:styleId="cs88eeb23">
    <w:name w:val="cs88eeb23"/>
    <w:basedOn w:val="Normal"/>
    <w:qFormat/>
    <w:pPr>
      <w:widowControl/>
      <w:spacing w:before="280" w:after="280"/>
    </w:pPr>
    <w:rPr>
      <w:sz w:val="24"/>
      <w:szCs w:val="24"/>
      <w:lang w:eastAsia="uk-UA"/>
    </w:rPr>
  </w:style>
  <w:style w:type="paragraph" w:styleId="TableParagraph">
    <w:name w:val="Table Paragraph"/>
    <w:basedOn w:val="Normal"/>
    <w:qFormat/>
    <w:pPr/>
    <w:rPr/>
  </w:style>
  <w:style w:type="paragraph" w:styleId="ListParagraph">
    <w:name w:val="List Paragraph"/>
    <w:basedOn w:val="Normal"/>
    <w:qFormat/>
    <w:pPr/>
    <w:rPr/>
  </w:style>
  <w:style w:type="paragraph" w:styleId="Style22">
    <w:name w:val="Автозамена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uk-UA" w:bidi="ar-SA"/>
    </w:rPr>
  </w:style>
  <w:style w:type="numbering" w:styleId="Style23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617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LibreOffice/24.8.0.3$Windows_X86_64 LibreOffice_project/0bdf1299c94fe897b119f97f3c613e9dca6be583</Application>
  <AppVersion>15.0000</AppVersion>
  <Pages>5</Pages>
  <Words>618</Words>
  <Characters>4220</Characters>
  <CharactersWithSpaces>4925</CharactersWithSpaces>
  <Paragraphs>179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2024-07-15T09:52:00Z</dcterms:created>
  <dc:creator>Potarzhevska Olesia</dc:creator>
  <dc:description/>
  <dc:language>uk-UA</dc:language>
  <cp:lastModifiedBy/>
  <cp:lastPrinted>2024-03-27T12:38:00Z</cp:lastPrinted>
  <dcterms:modified xsi:type="dcterms:W3CDTF">2026-01-14T18:21:25Z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