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Інформація про виконання </w:t>
      </w:r>
      <w:r>
        <w:rPr>
          <w:rFonts w:eastAsia="DejaVu Sans" w:eastAsiaTheme="minorEastAsia"/>
          <w:b/>
          <w:sz w:val="28"/>
          <w:szCs w:val="28"/>
          <w:lang w:val="uk-UA" w:eastAsia="ko-KR"/>
        </w:rPr>
        <w:t>плану заходів</w:t>
      </w:r>
    </w:p>
    <w:p>
      <w:pPr>
        <w:pStyle w:val="NoSpacing"/>
        <w:jc w:val="center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з проведення просвітницької діяльності</w:t>
      </w:r>
    </w:p>
    <w:p>
      <w:pPr>
        <w:pStyle w:val="NoSpacing"/>
        <w:jc w:val="center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у сфері захисту викривачів Головного управління </w:t>
      </w:r>
    </w:p>
    <w:p>
      <w:pPr>
        <w:pStyle w:val="NoSpacing"/>
        <w:jc w:val="center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Пенсійного фонду України в Закарпатській області у 2024–2025 роках</w:t>
      </w:r>
    </w:p>
    <w:p>
      <w:pPr>
        <w:pStyle w:val="NoSpacing"/>
        <w:jc w:val="center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за 2025 р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>к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  <w:lang w:val="uk-UA" w:eastAsia="en-US" w:bidi="ar-SA"/>
        </w:rPr>
        <w:t>відповідно до додатка 6 Антикорупційної програми Пенсійного фонду України та його територіальних органів на 2024–2025 роки)</w:t>
      </w:r>
    </w:p>
    <w:p>
      <w:pPr>
        <w:pStyle w:val="NoSpacing"/>
        <w:jc w:val="center"/>
        <w:rPr>
          <w:b/>
          <w:sz w:val="24"/>
          <w:szCs w:val="24"/>
          <w:lang w:val="uk-UA"/>
        </w:rPr>
      </w:pPr>
      <w:r>
        <w:rPr/>
      </w:r>
    </w:p>
    <w:p>
      <w:pPr>
        <w:pStyle w:val="NoSpacing"/>
        <w:jc w:val="center"/>
        <w:rPr>
          <w:b/>
          <w:sz w:val="20"/>
          <w:szCs w:val="24"/>
          <w:lang w:val="uk-UA"/>
        </w:rPr>
      </w:pPr>
      <w:r>
        <w:rPr>
          <w:b/>
          <w:sz w:val="20"/>
          <w:szCs w:val="24"/>
          <w:lang w:val="uk-UA"/>
        </w:rPr>
      </w:r>
    </w:p>
    <w:tbl>
      <w:tblPr>
        <w:tblStyle w:val="a4"/>
        <w:tblW w:w="16031" w:type="dxa"/>
        <w:jc w:val="start"/>
        <w:tblInd w:w="-132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70"/>
        <w:gridCol w:w="1185"/>
        <w:gridCol w:w="2159"/>
        <w:gridCol w:w="1935"/>
        <w:gridCol w:w="1411"/>
        <w:gridCol w:w="1409"/>
        <w:gridCol w:w="1845"/>
        <w:gridCol w:w="1276"/>
        <w:gridCol w:w="1666"/>
        <w:gridCol w:w="2573"/>
      </w:tblGrid>
      <w:tr>
        <w:trPr>
          <w:tblHeader w:val="true"/>
        </w:trPr>
        <w:tc>
          <w:tcPr>
            <w:tcW w:w="570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з/п</w:t>
            </w:r>
          </w:p>
        </w:tc>
        <w:tc>
          <w:tcPr>
            <w:tcW w:w="1185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Термін</w:t>
            </w:r>
          </w:p>
        </w:tc>
        <w:tc>
          <w:tcPr>
            <w:tcW w:w="2159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Вид заходу</w:t>
            </w:r>
          </w:p>
        </w:tc>
        <w:tc>
          <w:tcPr>
            <w:tcW w:w="1935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Відповідальний підрозділ (особа)</w:t>
            </w:r>
          </w:p>
        </w:tc>
        <w:tc>
          <w:tcPr>
            <w:tcW w:w="2820" w:type="dxa"/>
            <w:gridSpan w:val="2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Години навчань (засідань)</w:t>
            </w:r>
          </w:p>
        </w:tc>
        <w:tc>
          <w:tcPr>
            <w:tcW w:w="1845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Цільова аудиторія</w:t>
            </w:r>
          </w:p>
        </w:tc>
        <w:tc>
          <w:tcPr>
            <w:tcW w:w="1276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Кількість осіб, які взяли участь у заході</w:t>
            </w:r>
          </w:p>
        </w:tc>
        <w:tc>
          <w:tcPr>
            <w:tcW w:w="1666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Спосіб перевірки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рівня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знань</w:t>
            </w:r>
          </w:p>
        </w:tc>
        <w:tc>
          <w:tcPr>
            <w:tcW w:w="2573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firstLine="61" w:start="-61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Індикатор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виконання</w:t>
            </w:r>
          </w:p>
        </w:tc>
      </w:tr>
      <w:tr>
        <w:trPr>
          <w:tblHeader w:val="true"/>
        </w:trPr>
        <w:tc>
          <w:tcPr>
            <w:tcW w:w="570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1185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2159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1935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141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навчання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(засідання)</w:t>
            </w:r>
          </w:p>
        </w:tc>
        <w:tc>
          <w:tcPr>
            <w:tcW w:w="140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uk-UA" w:eastAsia="en-US" w:bidi="ar-SA"/>
              </w:rPr>
              <w:t>самостійна робота</w:t>
            </w:r>
          </w:p>
        </w:tc>
        <w:tc>
          <w:tcPr>
            <w:tcW w:w="1845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1276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1666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tcW w:w="2573" w:type="dxa"/>
            <w:vMerge w:val="continue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firstLine="61" w:start="-61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  <w:lang w:val="uk-UA"/>
              </w:rPr>
            </w:r>
          </w:p>
        </w:tc>
      </w:tr>
      <w:tr>
        <w:trPr>
          <w:tblHeader w:val="true"/>
        </w:trPr>
        <w:tc>
          <w:tcPr>
            <w:tcW w:w="5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uk-UA" w:eastAsia="en-US" w:bidi="ar-SA"/>
              </w:rPr>
              <w:t>1</w:t>
            </w:r>
          </w:p>
        </w:tc>
        <w:tc>
          <w:tcPr>
            <w:tcW w:w="118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uk-UA" w:eastAsia="en-US" w:bidi="ar-SA"/>
              </w:rPr>
              <w:t>2</w:t>
            </w:r>
          </w:p>
        </w:tc>
        <w:tc>
          <w:tcPr>
            <w:tcW w:w="215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uk-UA" w:eastAsia="en-US" w:bidi="ar-SA"/>
              </w:rPr>
              <w:t>3</w:t>
            </w:r>
          </w:p>
        </w:tc>
        <w:tc>
          <w:tcPr>
            <w:tcW w:w="193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uk-UA" w:eastAsia="en-US" w:bidi="ar-SA"/>
              </w:rPr>
              <w:t>4</w:t>
            </w:r>
          </w:p>
        </w:tc>
        <w:tc>
          <w:tcPr>
            <w:tcW w:w="141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uk-UA" w:eastAsia="en-US" w:bidi="ar-SA"/>
              </w:rPr>
              <w:t>5</w:t>
            </w:r>
          </w:p>
        </w:tc>
        <w:tc>
          <w:tcPr>
            <w:tcW w:w="140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uk-UA" w:eastAsia="en-US" w:bidi="ar-SA"/>
              </w:rPr>
              <w:t>6</w:t>
            </w:r>
          </w:p>
        </w:tc>
        <w:tc>
          <w:tcPr>
            <w:tcW w:w="184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uk-UA" w:eastAsia="en-US" w:bidi="ar-SA"/>
              </w:rPr>
              <w:t>7</w:t>
            </w:r>
          </w:p>
        </w:tc>
        <w:tc>
          <w:tcPr>
            <w:tcW w:w="127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uk-UA" w:eastAsia="en-US" w:bidi="ar-SA"/>
              </w:rPr>
              <w:t>8</w:t>
            </w:r>
          </w:p>
        </w:tc>
        <w:tc>
          <w:tcPr>
            <w:tcW w:w="16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uk-UA" w:eastAsia="en-US" w:bidi="ar-SA"/>
              </w:rPr>
              <w:t>9</w:t>
            </w:r>
          </w:p>
        </w:tc>
        <w:tc>
          <w:tcPr>
            <w:tcW w:w="257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b/>
                <w:kern w:val="0"/>
                <w:sz w:val="24"/>
                <w:szCs w:val="24"/>
                <w:lang w:val="uk-UA" w:eastAsia="en-US" w:bidi="ar-SA"/>
              </w:rPr>
              <w:t>10</w:t>
            </w:r>
          </w:p>
        </w:tc>
      </w:tr>
      <w:tr>
        <w:trPr/>
        <w:tc>
          <w:tcPr>
            <w:tcW w:w="5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1</w:t>
            </w:r>
          </w:p>
        </w:tc>
        <w:tc>
          <w:tcPr>
            <w:tcW w:w="118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Січень 2025 року</w:t>
            </w:r>
          </w:p>
        </w:tc>
        <w:tc>
          <w:tcPr>
            <w:tcW w:w="215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Міні-лекція на тему “Порядок повідомлення про корупцію у Пенсійному фонді України та його органах”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</w:tc>
        <w:tc>
          <w:tcPr>
            <w:tcW w:w="193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Сектор з питань запобігання та виявлення корупції Головного управління Пенсійного фонду в Закарпатській області</w:t>
            </w:r>
          </w:p>
        </w:tc>
        <w:tc>
          <w:tcPr>
            <w:tcW w:w="141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30 хв</w:t>
            </w:r>
          </w:p>
        </w:tc>
        <w:tc>
          <w:tcPr>
            <w:tcW w:w="140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30 хв</w:t>
            </w:r>
          </w:p>
        </w:tc>
        <w:tc>
          <w:tcPr>
            <w:tcW w:w="184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Працівники ГУ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127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19</w:t>
            </w:r>
          </w:p>
        </w:tc>
        <w:tc>
          <w:tcPr>
            <w:tcW w:w="16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Тестування та опитування (анкетування)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</w:tc>
        <w:tc>
          <w:tcPr>
            <w:tcW w:w="257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1. Сформовано перелік слухачів.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2.Проведено тестування слухачів для встановлення рівня (балу) засвоєння навчального матеріалу.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  <w:p>
            <w:pPr>
              <w:pStyle w:val="Style20"/>
              <w:tabs>
                <w:tab w:val="clear" w:pos="708"/>
                <w:tab w:val="left" w:pos="1814" w:leader="none"/>
              </w:tabs>
              <w:suppressAutoHyphens w:val="true"/>
              <w:spacing w:before="0" w:after="0"/>
              <w:ind w:start="-55" w:end="-35"/>
              <w:jc w:val="start"/>
              <w:rPr>
                <w:sz w:val="24"/>
                <w:szCs w:val="24"/>
                <w:lang w:val="uk-UA"/>
              </w:rPr>
            </w:pPr>
            <w:r>
              <w:rPr>
                <w:kern w:val="0"/>
                <w:sz w:val="24"/>
                <w:szCs w:val="24"/>
                <w:lang w:val="uk-UA" w:eastAsia="en-US" w:bidi="ar-SA"/>
              </w:rPr>
              <w:t>3. Проведено опитування (анкетування) щодо встановлення рівня якості організації та проведення навчального заходу, рівня професійної компетентності тренера</w:t>
            </w:r>
          </w:p>
        </w:tc>
      </w:tr>
      <w:tr>
        <w:trPr>
          <w:trHeight w:val="2564" w:hRule="atLeast"/>
        </w:trPr>
        <w:tc>
          <w:tcPr>
            <w:tcW w:w="5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2</w:t>
            </w:r>
          </w:p>
        </w:tc>
        <w:tc>
          <w:tcPr>
            <w:tcW w:w="118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Квітень 2025 року</w:t>
            </w:r>
          </w:p>
        </w:tc>
        <w:tc>
          <w:tcPr>
            <w:tcW w:w="215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Тренінг на тему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“</w:t>
            </w: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Захист викривачів”</w:t>
            </w:r>
          </w:p>
        </w:tc>
        <w:tc>
          <w:tcPr>
            <w:tcW w:w="193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Сектор з питань запобігання та виявлення корупції Головного управління Пенсійного фонду в Закарпатській області</w:t>
            </w:r>
          </w:p>
        </w:tc>
        <w:tc>
          <w:tcPr>
            <w:tcW w:w="141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1 год</w:t>
            </w:r>
          </w:p>
        </w:tc>
        <w:tc>
          <w:tcPr>
            <w:tcW w:w="140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30 хв</w:t>
            </w:r>
          </w:p>
        </w:tc>
        <w:tc>
          <w:tcPr>
            <w:tcW w:w="184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Працівники ГУ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127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80</w:t>
            </w:r>
          </w:p>
        </w:tc>
        <w:tc>
          <w:tcPr>
            <w:tcW w:w="16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Тестування та опитування (анкетування)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</w:tc>
        <w:tc>
          <w:tcPr>
            <w:tcW w:w="257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1. Сформовано перелік слухачів.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2.Проведено тестування слухачів для встановлення рівня (балу) засвоєння навчального матеріалу.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  <w:p>
            <w:pPr>
              <w:pStyle w:val="Style20"/>
              <w:tabs>
                <w:tab w:val="clear" w:pos="708"/>
                <w:tab w:val="left" w:pos="1814" w:leader="none"/>
              </w:tabs>
              <w:suppressAutoHyphens w:val="true"/>
              <w:spacing w:before="0" w:after="0"/>
              <w:ind w:start="-55" w:end="-35"/>
              <w:jc w:val="start"/>
              <w:rPr>
                <w:sz w:val="24"/>
                <w:szCs w:val="24"/>
                <w:lang w:val="uk-UA"/>
              </w:rPr>
            </w:pPr>
            <w:r>
              <w:rPr>
                <w:kern w:val="0"/>
                <w:sz w:val="24"/>
                <w:szCs w:val="24"/>
                <w:lang w:val="uk-UA" w:eastAsia="en-US" w:bidi="ar-SA"/>
              </w:rPr>
              <w:t>3. Проведено опитування (анкетування) щодо встановлення рівня якості організації та проведення навчального заходу, рівня професійної компетентності тренера</w:t>
            </w:r>
          </w:p>
        </w:tc>
      </w:tr>
      <w:tr>
        <w:trPr>
          <w:trHeight w:val="1385" w:hRule="atLeast"/>
        </w:trPr>
        <w:tc>
          <w:tcPr>
            <w:tcW w:w="5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3</w:t>
            </w:r>
          </w:p>
        </w:tc>
        <w:tc>
          <w:tcPr>
            <w:tcW w:w="118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Травень 2025</w:t>
            </w:r>
          </w:p>
        </w:tc>
        <w:tc>
          <w:tcPr>
            <w:tcW w:w="215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Онлайн-лекція на тему: «Захист викривачів»</w:t>
            </w:r>
          </w:p>
        </w:tc>
        <w:tc>
          <w:tcPr>
            <w:tcW w:w="193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Сектор з питань запобігання та виявлення корупції Головного управління Пенсійного фонду в Закарпатській області</w:t>
            </w:r>
          </w:p>
        </w:tc>
        <w:tc>
          <w:tcPr>
            <w:tcW w:w="141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1 год</w:t>
            </w:r>
          </w:p>
        </w:tc>
        <w:tc>
          <w:tcPr>
            <w:tcW w:w="140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30 хв</w:t>
            </w:r>
          </w:p>
        </w:tc>
        <w:tc>
          <w:tcPr>
            <w:tcW w:w="184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Працівники ГУ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127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78</w:t>
            </w:r>
          </w:p>
        </w:tc>
        <w:tc>
          <w:tcPr>
            <w:tcW w:w="16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Тестування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та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опитування (анкетування)</w:t>
            </w:r>
          </w:p>
        </w:tc>
        <w:tc>
          <w:tcPr>
            <w:tcW w:w="2573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1. Сформовано перелік слухачів.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2.Проведено тестування слухачів для встановлення рівня (балу) засвоєння навчального матеріалу.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  <w:p>
            <w:pPr>
              <w:pStyle w:val="Style20"/>
              <w:tabs>
                <w:tab w:val="clear" w:pos="708"/>
                <w:tab w:val="left" w:pos="1814" w:leader="none"/>
              </w:tabs>
              <w:suppressAutoHyphens w:val="true"/>
              <w:spacing w:before="0" w:after="0"/>
              <w:ind w:start="-55" w:end="-35"/>
              <w:jc w:val="start"/>
              <w:rPr>
                <w:sz w:val="24"/>
                <w:szCs w:val="24"/>
                <w:lang w:val="uk-UA"/>
              </w:rPr>
            </w:pPr>
            <w:r>
              <w:rPr>
                <w:kern w:val="0"/>
                <w:sz w:val="24"/>
                <w:szCs w:val="24"/>
                <w:lang w:val="uk-UA" w:eastAsia="en-US" w:bidi="ar-SA"/>
              </w:rPr>
              <w:t>3. Проведено опитування (анкетування) щодо встановлення рівня якості організації та проведення навчального заходу, рівня професійної компетентності тренера</w:t>
            </w:r>
          </w:p>
        </w:tc>
      </w:tr>
      <w:tr>
        <w:trPr/>
        <w:tc>
          <w:tcPr>
            <w:tcW w:w="5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4</w:t>
            </w:r>
          </w:p>
        </w:tc>
        <w:tc>
          <w:tcPr>
            <w:tcW w:w="118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Червень 2025 року</w:t>
            </w:r>
          </w:p>
        </w:tc>
        <w:tc>
          <w:tcPr>
            <w:tcW w:w="215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Вебінар з нагоди відзначення 23 червня Міжнародного дня викривачів корупції – World Whistleblower Day</w:t>
            </w:r>
          </w:p>
        </w:tc>
        <w:tc>
          <w:tcPr>
            <w:tcW w:w="193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Сектор з питань запобігання та виявлення корупції, сектор організаційно-інформаційної роботи Головного управління Пенсійного фонду в Закарпатській області</w:t>
            </w:r>
          </w:p>
        </w:tc>
        <w:tc>
          <w:tcPr>
            <w:tcW w:w="141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1 год</w:t>
            </w:r>
          </w:p>
        </w:tc>
        <w:tc>
          <w:tcPr>
            <w:tcW w:w="140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-</w:t>
            </w:r>
          </w:p>
        </w:tc>
        <w:tc>
          <w:tcPr>
            <w:tcW w:w="184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Працівники ГУ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127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398</w:t>
            </w:r>
          </w:p>
        </w:tc>
        <w:tc>
          <w:tcPr>
            <w:tcW w:w="16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обговорення</w:t>
            </w:r>
          </w:p>
        </w:tc>
        <w:tc>
          <w:tcPr>
            <w:tcW w:w="2573" w:type="dxa"/>
            <w:tcBorders/>
          </w:tcPr>
          <w:p>
            <w:pPr>
              <w:pStyle w:val="Style20"/>
              <w:tabs>
                <w:tab w:val="clear" w:pos="708"/>
                <w:tab w:val="left" w:pos="1814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  <w:lang w:val="uk-UA"/>
              </w:rPr>
            </w:pPr>
            <w:r>
              <w:rPr>
                <w:kern w:val="0"/>
                <w:sz w:val="24"/>
                <w:szCs w:val="24"/>
                <w:lang w:val="uk-UA" w:eastAsia="en-US" w:bidi="ar-SA"/>
              </w:rPr>
              <w:t>Опубліковано на інформаційній сторінці Головного управління вебпорталу електронних послуг ПФУ інформацію про проведення просвітницького заходу</w:t>
            </w:r>
          </w:p>
        </w:tc>
      </w:tr>
      <w:tr>
        <w:trPr/>
        <w:tc>
          <w:tcPr>
            <w:tcW w:w="570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85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 w:bidi="ar-SA"/>
              </w:rPr>
              <w:t>серпень 2025 року</w:t>
            </w:r>
          </w:p>
        </w:tc>
        <w:tc>
          <w:tcPr>
            <w:tcW w:w="2159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 w:bidi="ar-SA"/>
              </w:rPr>
              <w:t>Тренінг на тему “Викривач: правовий статус”</w:t>
            </w:r>
          </w:p>
        </w:tc>
        <w:tc>
          <w:tcPr>
            <w:tcW w:w="1935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eastAsia="en-US" w:bidi="ar-SA"/>
              </w:rPr>
              <w:t>Сектор з питань запобігання та виявлення</w:t>
            </w:r>
            <w:r>
              <w:rPr>
                <w:rFonts w:eastAsia="Calibri" w:cs="Calibri"/>
                <w:kern w:val="0"/>
                <w:lang w:eastAsia="en-US" w:bidi="ar-SA"/>
              </w:rPr>
              <w:t xml:space="preserve"> </w:t>
            </w:r>
            <w:r>
              <w:rPr>
                <w:rFonts w:eastAsia="Calibri" w:cs="Calibri"/>
                <w:kern w:val="0"/>
                <w:sz w:val="24"/>
                <w:szCs w:val="24"/>
                <w:lang w:eastAsia="en-US" w:bidi="ar-SA"/>
              </w:rPr>
              <w:t>корупції</w:t>
            </w:r>
            <w:r>
              <w:rPr>
                <w:rFonts w:eastAsia="Calibri" w:cs="Calibri"/>
                <w:kern w:val="0"/>
                <w:lang w:eastAsia="en-US" w:bidi="ar-SA"/>
              </w:rPr>
              <w:t xml:space="preserve"> </w:t>
            </w:r>
            <w:r>
              <w:rPr>
                <w:rFonts w:eastAsia="Calibri" w:cs="Calibri"/>
                <w:kern w:val="0"/>
                <w:sz w:val="24"/>
                <w:szCs w:val="24"/>
                <w:lang w:eastAsia="en-US" w:bidi="ar-SA"/>
              </w:rPr>
              <w:t>Головного управління Пенсійного фонду в Закарпатській області</w:t>
            </w:r>
          </w:p>
        </w:tc>
        <w:tc>
          <w:tcPr>
            <w:tcW w:w="1411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 w:bidi="ar-SA"/>
              </w:rPr>
              <w:t>1 год</w:t>
            </w:r>
          </w:p>
        </w:tc>
        <w:tc>
          <w:tcPr>
            <w:tcW w:w="1409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 w:bidi="ar-SA"/>
              </w:rPr>
              <w:t>30 хв</w:t>
            </w:r>
          </w:p>
        </w:tc>
        <w:tc>
          <w:tcPr>
            <w:tcW w:w="1845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eastAsia="en-US" w:bidi="ar-SA"/>
              </w:rPr>
              <w:t>Працівники ГУ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168</w:t>
            </w:r>
          </w:p>
        </w:tc>
        <w:tc>
          <w:tcPr>
            <w:tcW w:w="1666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Тестування та опитування (анкетування)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</w:tc>
        <w:tc>
          <w:tcPr>
            <w:tcW w:w="2573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1. Сформовано перелік слухачів.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2.Проведено тестування слухачів для встановлення рівня (балу) засвоєння навчального матеріалу.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  <w:p>
            <w:pPr>
              <w:pStyle w:val="Style20"/>
              <w:tabs>
                <w:tab w:val="clear" w:pos="708"/>
                <w:tab w:val="left" w:pos="1814" w:leader="none"/>
              </w:tabs>
              <w:suppressAutoHyphens w:val="true"/>
              <w:spacing w:before="0" w:after="0"/>
              <w:ind w:start="-55" w:end="-35"/>
              <w:jc w:val="start"/>
              <w:rPr>
                <w:sz w:val="24"/>
                <w:szCs w:val="24"/>
                <w:lang w:val="uk-UA"/>
              </w:rPr>
            </w:pPr>
            <w:r>
              <w:rPr>
                <w:kern w:val="0"/>
                <w:sz w:val="24"/>
                <w:szCs w:val="24"/>
                <w:lang w:val="uk-UA" w:eastAsia="en-US" w:bidi="ar-SA"/>
              </w:rPr>
              <w:t>3. Проведено опитування (анкетування) щодо встановлення рівня якості організації та проведення навчального заходу, рівня професійної компетентності тренера</w:t>
            </w:r>
          </w:p>
        </w:tc>
      </w:tr>
      <w:tr>
        <w:trPr/>
        <w:tc>
          <w:tcPr>
            <w:tcW w:w="570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85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uk-UA" w:eastAsia="en-US" w:bidi="ar-SA"/>
              </w:rPr>
              <w:t>ж</w:t>
            </w:r>
            <w:r>
              <w:rPr>
                <w:rFonts w:eastAsia="Calibri"/>
                <w:kern w:val="0"/>
                <w:sz w:val="24"/>
                <w:szCs w:val="24"/>
                <w:lang w:eastAsia="en-US" w:bidi="ar-SA"/>
              </w:rPr>
              <w:t>овтень 2025 року</w:t>
            </w:r>
          </w:p>
        </w:tc>
        <w:tc>
          <w:tcPr>
            <w:tcW w:w="2159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lang w:val="uk-UA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Лекція на тему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lang w:val="uk-UA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uk-UA" w:eastAsia="en-US" w:bidi="ar-SA"/>
              </w:rPr>
              <w:t>“</w:t>
            </w:r>
            <w:r>
              <w:rPr>
                <w:rFonts w:eastAsia="Calibri"/>
                <w:kern w:val="0"/>
                <w:sz w:val="24"/>
                <w:szCs w:val="24"/>
                <w:lang w:val="uk-UA" w:eastAsia="en-US" w:bidi="ar-SA"/>
              </w:rPr>
              <w:t>Права та гарантії захисту викривача”</w:t>
            </w:r>
          </w:p>
        </w:tc>
        <w:tc>
          <w:tcPr>
            <w:tcW w:w="1935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Сектор з питань запобігання та виявлення корупції Головного управління Пенсійного фонду в Закарпатській</w:t>
            </w:r>
            <w:r>
              <w:rPr>
                <w:rFonts w:eastAsia="Calibri" w:cs="Calibri"/>
                <w:kern w:val="0"/>
                <w:sz w:val="24"/>
                <w:szCs w:val="24"/>
                <w:lang w:eastAsia="en-US" w:bidi="ar-SA"/>
              </w:rPr>
              <w:t xml:space="preserve"> області</w:t>
            </w:r>
          </w:p>
        </w:tc>
        <w:tc>
          <w:tcPr>
            <w:tcW w:w="1411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1 год</w:t>
            </w:r>
          </w:p>
        </w:tc>
        <w:tc>
          <w:tcPr>
            <w:tcW w:w="1409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30 хв</w:t>
            </w:r>
          </w:p>
        </w:tc>
        <w:tc>
          <w:tcPr>
            <w:tcW w:w="1845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Працівники ГУ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56</w:t>
            </w:r>
          </w:p>
        </w:tc>
        <w:tc>
          <w:tcPr>
            <w:tcW w:w="1666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Тестування та опитування (анкетування)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</w:tc>
        <w:tc>
          <w:tcPr>
            <w:tcW w:w="2573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b w:val="false"/>
                <w:bCs w:val="false"/>
              </w:rPr>
            </w:pPr>
            <w:r>
              <w:rPr>
                <w:rFonts w:eastAsia="Calibri" w:cs="Calibri"/>
                <w:b w:val="false"/>
                <w:bCs w:val="false"/>
                <w:kern w:val="0"/>
                <w:sz w:val="24"/>
                <w:szCs w:val="24"/>
                <w:lang w:val="uk-UA" w:eastAsia="en-US" w:bidi="ar-SA"/>
              </w:rPr>
              <w:t>1. Сформовано перелік слухачів.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b w:val="false"/>
                <w:bCs w:val="false"/>
                <w:sz w:val="24"/>
                <w:szCs w:val="24"/>
                <w:lang w:val="uk-UA"/>
              </w:rPr>
            </w:pPr>
            <w:r>
              <w:rPr>
                <w:b w:val="false"/>
                <w:bCs w:val="false"/>
                <w:sz w:val="24"/>
                <w:szCs w:val="24"/>
                <w:lang w:val="uk-U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b w:val="false"/>
                <w:bCs w:val="false"/>
              </w:rPr>
            </w:pPr>
            <w:r>
              <w:rPr>
                <w:rFonts w:eastAsia="Calibri" w:cs="Calibri"/>
                <w:b w:val="false"/>
                <w:bCs w:val="false"/>
                <w:kern w:val="0"/>
                <w:sz w:val="24"/>
                <w:szCs w:val="24"/>
                <w:lang w:val="uk-UA" w:eastAsia="en-US" w:bidi="ar-SA"/>
              </w:rPr>
              <w:t>2.Проведено тестування слухачів для встановлення рівня (балу) засвоєння навчального матеріалу.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start="-55" w:end="-35"/>
              <w:jc w:val="both"/>
              <w:rPr>
                <w:b w:val="false"/>
                <w:bCs w:val="false"/>
                <w:sz w:val="24"/>
                <w:szCs w:val="24"/>
                <w:lang w:val="uk-UA"/>
              </w:rPr>
            </w:pPr>
            <w:r>
              <w:rPr>
                <w:b w:val="false"/>
                <w:bCs w:val="false"/>
                <w:sz w:val="24"/>
                <w:szCs w:val="24"/>
                <w:lang w:val="uk-UA"/>
              </w:rPr>
            </w:r>
          </w:p>
          <w:p>
            <w:pPr>
              <w:pStyle w:val="Style20"/>
              <w:tabs>
                <w:tab w:val="clear" w:pos="708"/>
                <w:tab w:val="left" w:pos="1814" w:leader="none"/>
              </w:tabs>
              <w:suppressAutoHyphens w:val="true"/>
              <w:spacing w:before="0" w:after="0"/>
              <w:ind w:start="-55" w:end="-35"/>
              <w:jc w:val="start"/>
              <w:rPr>
                <w:b w:val="false"/>
                <w:bCs w:val="false"/>
              </w:rPr>
            </w:pPr>
            <w:bookmarkStart w:id="0" w:name="_GoBack_копія_1"/>
            <w:bookmarkEnd w:id="0"/>
            <w:r>
              <w:rPr>
                <w:rFonts w:eastAsia="Calibri" w:cs="Calibri"/>
                <w:b w:val="false"/>
                <w:bCs w:val="false"/>
                <w:kern w:val="0"/>
                <w:sz w:val="24"/>
                <w:szCs w:val="24"/>
                <w:lang w:val="uk-UA" w:eastAsia="en-US" w:bidi="ar-SA"/>
              </w:rPr>
              <w:t>3. Проведено опитування (анкетування) щодо встановлення рівня якості організації та проведення навчального заходу, рівня професійної компетентності тренера</w:t>
            </w:r>
          </w:p>
        </w:tc>
      </w:tr>
      <w:tr>
        <w:trPr/>
        <w:tc>
          <w:tcPr>
            <w:tcW w:w="570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185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uk-UA" w:eastAsia="en-US" w:bidi="ar-SA"/>
              </w:rPr>
              <w:t>г</w:t>
            </w:r>
            <w:r>
              <w:rPr>
                <w:rFonts w:eastAsia="Calibri"/>
                <w:kern w:val="0"/>
                <w:sz w:val="24"/>
                <w:szCs w:val="24"/>
                <w:lang w:eastAsia="en-US" w:bidi="ar-SA"/>
              </w:rPr>
              <w:t>рудень 2025 року</w:t>
            </w:r>
          </w:p>
        </w:tc>
        <w:tc>
          <w:tcPr>
            <w:tcW w:w="2159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lang w:val="uk-UA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uk-UA" w:eastAsia="en-US" w:bidi="ar-SA"/>
              </w:rPr>
              <w:t>Вебінар з нагоди відзначення Міжнародного дня боротьби з корупцією (International Anti-Corruption Day), який відзначається щорічно 9 грудня з ініціативи Організації Об’єднаних Націй</w:t>
            </w:r>
          </w:p>
        </w:tc>
        <w:tc>
          <w:tcPr>
            <w:tcW w:w="1935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Сектор з питань запобігання та виявлення корупції, сектор організаційно-інформаційної роботи Головного управління Пенсійного фонду в Закарпатській області</w:t>
            </w:r>
          </w:p>
        </w:tc>
        <w:tc>
          <w:tcPr>
            <w:tcW w:w="1411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1 год</w:t>
            </w:r>
          </w:p>
        </w:tc>
        <w:tc>
          <w:tcPr>
            <w:tcW w:w="1409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00 хв</w:t>
            </w:r>
          </w:p>
        </w:tc>
        <w:tc>
          <w:tcPr>
            <w:tcW w:w="1845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Calibri" w:cs="Calibri"/>
                <w:kern w:val="0"/>
                <w:sz w:val="24"/>
                <w:szCs w:val="24"/>
                <w:shd w:fill="FFFFFF" w:val="clear"/>
                <w:lang w:val="uk-UA" w:eastAsia="en-US" w:bidi="ar-SA"/>
              </w:rPr>
              <w:t>Працівники ГУ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NSimSu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FFFFFF" w:val="clear"/>
                <w:lang w:val="uk-UA" w:eastAsia="zh-CN" w:bidi="hi-IN"/>
              </w:rPr>
              <w:t>356</w:t>
            </w:r>
          </w:p>
        </w:tc>
        <w:tc>
          <w:tcPr>
            <w:tcW w:w="1666" w:type="dxa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uk-UA" w:eastAsia="en-US" w:bidi="ar-SA"/>
              </w:rPr>
              <w:t>обговорення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</w:r>
          </w:p>
        </w:tc>
        <w:tc>
          <w:tcPr>
            <w:tcW w:w="2573" w:type="dxa"/>
            <w:tcBorders>
              <w:top w:val="nil"/>
            </w:tcBorders>
          </w:tcPr>
          <w:p>
            <w:pPr>
              <w:pStyle w:val="Style20"/>
              <w:tabs>
                <w:tab w:val="clear" w:pos="708"/>
                <w:tab w:val="left" w:pos="1814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uk-UA" w:eastAsia="en-US" w:bidi="ar-SA"/>
              </w:rPr>
              <w:t>Опубліковано на інформаційній сторінці Головного управління вебпорталу електронних послуг ПФУ інформацію про проведення просвітницького заходу</w:t>
            </w:r>
          </w:p>
        </w:tc>
      </w:tr>
    </w:tbl>
    <w:p>
      <w:pPr>
        <w:pStyle w:val="NoSpacing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spacing w:lineRule="auto" w:line="240" w:before="0" w:after="0"/>
        <w:jc w:val="both"/>
        <w:rPr>
          <w:b/>
          <w:lang w:val="uk-UA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b/>
          <w:lang w:val="uk-UA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Завідувач</w:t>
      </w:r>
      <w:r>
        <w:rPr>
          <w:b/>
          <w:sz w:val="28"/>
          <w:szCs w:val="28"/>
          <w:lang w:val="uk-UA"/>
        </w:rPr>
        <w:t xml:space="preserve"> сектору з питань 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запобігання та виявлення корупції                                                                                        </w:t>
      </w:r>
      <w:r>
        <w:rPr>
          <w:b/>
          <w:sz w:val="28"/>
          <w:szCs w:val="28"/>
          <w:lang w:val="uk-UA"/>
        </w:rPr>
        <w:t>Людмила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ПЕТРИШИНЕЦЬ</w:t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701" w:right="567" w:gutter="0" w:header="709" w:top="1134" w:footer="0" w:bottom="28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148202075"/>
    </w:sdtPr>
    <w:sdtContent>
      <w:p>
        <w:pPr>
          <w:pStyle w:val="Header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>5</w:t>
        </w:r>
        <w:r>
          <w:rPr>
            <w:sz w:val="24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ko-KR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" w:cs="Arial" w:cstheme="minorHAns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Times New Roman" w:hAnsi="Times New Roman" w:eastAsia="Arial" w:cs="Arial" w:cstheme="minorHAnsi" w:eastAsiaTheme="minorHAnsi"/>
      <w:color w:val="auto"/>
      <w:kern w:val="0"/>
      <w:sz w:val="28"/>
      <w:szCs w:val="22"/>
      <w:lang w:val="ru-RU" w:eastAsia="en-US" w:bidi="ar-SA"/>
    </w:rPr>
  </w:style>
  <w:style w:type="paragraph" w:styleId="Heading3">
    <w:name w:val="heading 3"/>
    <w:basedOn w:val="Style18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5f375a"/>
    <w:rPr/>
  </w:style>
  <w:style w:type="character" w:styleId="Style14" w:customStyle="1">
    <w:name w:val="Нижний колонтитул Знак"/>
    <w:basedOn w:val="DefaultParagraphFont"/>
    <w:uiPriority w:val="99"/>
    <w:qFormat/>
    <w:rsid w:val="005f375a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5517a6"/>
    <w:rPr>
      <w:rFonts w:ascii="Segoe UI" w:hAnsi="Segoe UI" w:cs="Segoe UI"/>
      <w:sz w:val="18"/>
      <w:szCs w:val="18"/>
    </w:rPr>
  </w:style>
  <w:style w:type="character" w:styleId="Style16" w:customStyle="1">
    <w:name w:val="Другое_"/>
    <w:basedOn w:val="DefaultParagraphFont"/>
    <w:link w:val="Style20"/>
    <w:qFormat/>
    <w:locked/>
    <w:rsid w:val="00e639af"/>
    <w:rPr>
      <w:rFonts w:eastAsia="Times New Roman" w:cs="Times New Roman"/>
    </w:rPr>
  </w:style>
  <w:style w:type="character" w:styleId="cs23fb0664" w:customStyle="1">
    <w:name w:val="cs23fb0664"/>
    <w:basedOn w:val="DefaultParagraphFont"/>
    <w:qFormat/>
    <w:rsid w:val="00e572e0"/>
    <w:rPr/>
  </w:style>
  <w:style w:type="character" w:styleId="InternetLink">
    <w:name w:val="Internet Link"/>
    <w:qFormat/>
    <w:rPr>
      <w:color w:val="000080"/>
      <w:u w:val="single"/>
    </w:rPr>
  </w:style>
  <w:style w:type="character" w:styleId="Style17">
    <w:name w:val="Основной текст Знак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b51408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Arial" w:cs="Arial" w:cstheme="minorHAnsi" w:eastAsiaTheme="minorHAnsi"/>
      <w:color w:val="auto"/>
      <w:kern w:val="0"/>
      <w:sz w:val="28"/>
      <w:szCs w:val="22"/>
      <w:lang w:val="ru-RU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5f375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5f375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5517a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s2a4a7cb2" w:customStyle="1">
    <w:name w:val="cs2a4a7cb2"/>
    <w:basedOn w:val="Normal"/>
    <w:qFormat/>
    <w:rsid w:val="006957ab"/>
    <w:pPr>
      <w:spacing w:lineRule="auto" w:line="240" w:beforeAutospacing="1" w:afterAutospacing="1"/>
    </w:pPr>
    <w:rPr>
      <w:rFonts w:eastAsia="Times New Roman" w:cs="Times New Roman"/>
      <w:sz w:val="24"/>
      <w:szCs w:val="24"/>
      <w:lang w:val="uk-UA" w:eastAsia="uk-UA"/>
    </w:rPr>
  </w:style>
  <w:style w:type="paragraph" w:styleId="Revision">
    <w:name w:val="Revision"/>
    <w:uiPriority w:val="99"/>
    <w:semiHidden/>
    <w:qFormat/>
    <w:rsid w:val="00dd6d3d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Arial" w:cs="Arial" w:cstheme="minorHAnsi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1"/>
    <w:qFormat/>
    <w:rsid w:val="002745cc"/>
    <w:pPr>
      <w:spacing w:lineRule="auto" w:line="252" w:before="0" w:after="160"/>
      <w:ind w:start="720"/>
      <w:contextualSpacing/>
    </w:pPr>
    <w:rPr>
      <w:rFonts w:cs="Times New Roman"/>
      <w:szCs w:val="28"/>
      <w:lang w:val="uk-UA"/>
    </w:rPr>
  </w:style>
  <w:style w:type="paragraph" w:styleId="Style20" w:customStyle="1">
    <w:name w:val="Другое"/>
    <w:basedOn w:val="Normal"/>
    <w:link w:val="Style16"/>
    <w:qFormat/>
    <w:rsid w:val="00e639af"/>
    <w:pPr>
      <w:widowControl w:val="false"/>
      <w:spacing w:lineRule="auto" w:line="240" w:before="0" w:after="0"/>
      <w:jc w:val="center"/>
    </w:pPr>
    <w:rPr>
      <w:rFonts w:eastAsia="Times New Roman" w:cs="Times New Roman"/>
    </w:rPr>
  </w:style>
  <w:style w:type="paragraph" w:styleId="Style21">
    <w:name w:val="Вміст таблиці"/>
    <w:basedOn w:val="Normal"/>
    <w:qFormat/>
    <w:pPr>
      <w:widowControl w:val="false"/>
      <w:suppressLineNumbers/>
    </w:pPr>
    <w:rPr/>
  </w:style>
  <w:style w:type="paragraph" w:styleId="Style22">
    <w:name w:val="Заголовок таблиці"/>
    <w:basedOn w:val="Style21"/>
    <w:qFormat/>
    <w:pPr>
      <w:suppressLineNumbers/>
      <w:jc w:val="center"/>
    </w:pPr>
    <w:rPr>
      <w:b/>
      <w:bCs/>
    </w:rPr>
  </w:style>
  <w:style w:type="paragraph" w:styleId="Style23">
    <w:name w:val="Примітка"/>
    <w:basedOn w:val="Normal"/>
    <w:qFormat/>
    <w:pPr>
      <w:spacing w:before="56" w:after="0"/>
      <w:ind w:start="56" w:end="56"/>
    </w:pPr>
    <w:rPr>
      <w:sz w:val="20"/>
      <w:szCs w:val="20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lineRule="auto" w:line="240" w:before="0" w:after="0"/>
      <w:jc w:val="start"/>
    </w:pPr>
    <w:rPr>
      <w:rFonts w:ascii="Liberation Serif" w:hAnsi="Liberation Serif" w:eastAsia="Segoe UI" w:cs="Tahoma"/>
      <w:color w:val="000000"/>
      <w:kern w:val="2"/>
      <w:sz w:val="24"/>
      <w:szCs w:val="24"/>
      <w:lang w:val="uk-UA" w:eastAsia="zh-CN" w:bidi="hi-IN"/>
    </w:rPr>
  </w:style>
  <w:style w:type="paragraph" w:styleId="cs88eeb23">
    <w:name w:val="cs88eeb23"/>
    <w:basedOn w:val="Normal"/>
    <w:qFormat/>
    <w:pPr>
      <w:widowControl/>
      <w:spacing w:before="280" w:after="280"/>
    </w:pPr>
    <w:rPr>
      <w:sz w:val="24"/>
      <w:szCs w:val="24"/>
      <w:lang w:eastAsia="uk-UA"/>
    </w:rPr>
  </w:style>
  <w:style w:type="paragraph" w:styleId="TableParagraph">
    <w:name w:val="Table Paragraph"/>
    <w:basedOn w:val="Normal"/>
    <w:qFormat/>
    <w:pPr/>
    <w:rPr/>
  </w:style>
  <w:style w:type="numbering" w:styleId="Style24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617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LibreOffice/24.8.0.3$Windows_X86_64 LibreOffice_project/0bdf1299c94fe897b119f97f3c613e9dca6be583</Application>
  <AppVersion>15.0000</AppVersion>
  <Pages>5</Pages>
  <Words>555</Words>
  <Characters>3796</Characters>
  <CharactersWithSpaces>4322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2024-07-15T10:15:00Z</dcterms:created>
  <dc:creator>Potarzhevska Olesia</dc:creator>
  <dc:description/>
  <dc:language>uk-UA</dc:language>
  <cp:lastModifiedBy/>
  <cp:lastPrinted>2024-02-21T15:15:00Z</cp:lastPrinted>
  <dcterms:modified xsi:type="dcterms:W3CDTF">2026-01-14T18:12:17Z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