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08"/>
          <w:tab w:val="left" w:pos="9923" w:leader="none"/>
        </w:tabs>
        <w:spacing w:lineRule="auto" w:line="240" w:before="0" w:after="0"/>
        <w:ind w:left="9923" w:hanging="0"/>
        <w:rPr>
          <w:rFonts w:ascii="Times New Roman" w:hAnsi="Times New Roman" w:eastAsia="Times New Roman"/>
          <w:sz w:val="24"/>
          <w:szCs w:val="24"/>
          <w:lang w:val="en-US" w:eastAsia="ru-RU"/>
        </w:rPr>
      </w:pPr>
      <w:r>
        <w:rPr>
          <w:rFonts w:eastAsia="Times New Roman" w:ascii="Times New Roman" w:hAnsi="Times New Roman"/>
          <w:sz w:val="24"/>
          <w:szCs w:val="24"/>
          <w:lang w:val="en-US" w:eastAsia="ru-RU"/>
        </w:rPr>
      </w:r>
    </w:p>
    <w:p>
      <w:pPr>
        <w:pStyle w:val="Normal"/>
        <w:tabs>
          <w:tab w:val="clear" w:pos="708"/>
          <w:tab w:val="left" w:pos="9923" w:leader="none"/>
        </w:tabs>
        <w:spacing w:lineRule="auto" w:line="240" w:before="0" w:after="0"/>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 xml:space="preserve">                                                                                                                                                                           </w:t>
      </w:r>
      <w:r>
        <w:rPr>
          <w:rFonts w:eastAsia="Times New Roman" w:ascii="Times New Roman" w:hAnsi="Times New Roman"/>
          <w:sz w:val="24"/>
          <w:szCs w:val="24"/>
          <w:lang w:val="uk-UA" w:eastAsia="ru-RU"/>
        </w:rPr>
        <w:t>Додаток 1</w:t>
      </w:r>
    </w:p>
    <w:p>
      <w:pPr>
        <w:pStyle w:val="Normal"/>
        <w:tabs>
          <w:tab w:val="clear" w:pos="708"/>
          <w:tab w:val="left" w:pos="9923" w:leader="none"/>
        </w:tabs>
        <w:spacing w:lineRule="auto" w:line="240" w:before="0" w:after="0"/>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p>
      <w:pPr>
        <w:pStyle w:val="Normal"/>
        <w:tabs>
          <w:tab w:val="clear" w:pos="708"/>
          <w:tab w:val="left" w:pos="9923" w:leader="none"/>
        </w:tabs>
        <w:spacing w:lineRule="auto" w:line="240" w:before="0" w:after="0"/>
        <w:ind w:left="10261" w:hanging="0"/>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ЗАТВЕРДЖЕНО</w:t>
      </w:r>
    </w:p>
    <w:p>
      <w:pPr>
        <w:pStyle w:val="Normal"/>
        <w:tabs>
          <w:tab w:val="clear" w:pos="708"/>
          <w:tab w:val="left" w:pos="9923" w:leader="none"/>
        </w:tabs>
        <w:spacing w:lineRule="auto" w:line="240" w:before="0" w:after="0"/>
        <w:ind w:left="10261" w:hanging="0"/>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p>
      <w:pPr>
        <w:pStyle w:val="Normal"/>
        <w:tabs>
          <w:tab w:val="clear" w:pos="708"/>
          <w:tab w:val="left" w:pos="9923" w:leader="none"/>
        </w:tabs>
        <w:spacing w:lineRule="auto" w:line="240" w:before="0" w:after="0"/>
        <w:ind w:left="10261" w:hanging="0"/>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 xml:space="preserve">Наказ Головного управління </w:t>
      </w:r>
    </w:p>
    <w:p>
      <w:pPr>
        <w:pStyle w:val="Normal"/>
        <w:tabs>
          <w:tab w:val="clear" w:pos="708"/>
          <w:tab w:val="left" w:pos="9923" w:leader="none"/>
        </w:tabs>
        <w:spacing w:lineRule="auto" w:line="240" w:before="0" w:after="0"/>
        <w:ind w:left="10261" w:hanging="0"/>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 xml:space="preserve">Пенсійного фонду України </w:t>
      </w:r>
    </w:p>
    <w:p>
      <w:pPr>
        <w:pStyle w:val="Normal"/>
        <w:tabs>
          <w:tab w:val="clear" w:pos="708"/>
          <w:tab w:val="left" w:pos="9923" w:leader="none"/>
        </w:tabs>
        <w:spacing w:lineRule="auto" w:line="240" w:before="0" w:after="0"/>
        <w:ind w:left="10261" w:hanging="0"/>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 Луганській області</w:t>
      </w:r>
    </w:p>
    <w:p>
      <w:pPr>
        <w:pStyle w:val="Normal"/>
        <w:widowControl/>
        <w:tabs>
          <w:tab w:val="clear" w:pos="708"/>
          <w:tab w:val="left" w:pos="9923" w:leader="none"/>
        </w:tabs>
        <w:bidi w:val="0"/>
        <w:spacing w:lineRule="auto" w:line="240" w:before="0" w:after="0"/>
        <w:ind w:left="10260" w:right="-449" w:hanging="0"/>
        <w:jc w:val="left"/>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 xml:space="preserve">30 листопада 2021 року № 1122 (із змінами, </w:t>
      </w:r>
    </w:p>
    <w:p>
      <w:pPr>
        <w:pStyle w:val="Normal"/>
        <w:widowControl/>
        <w:tabs>
          <w:tab w:val="clear" w:pos="708"/>
          <w:tab w:val="left" w:pos="9923" w:leader="none"/>
        </w:tabs>
        <w:bidi w:val="0"/>
        <w:spacing w:lineRule="auto" w:line="240" w:before="0" w:after="0"/>
        <w:ind w:left="10260" w:right="-449" w:hanging="0"/>
        <w:jc w:val="left"/>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 xml:space="preserve">внесеними наказом Головного управління </w:t>
      </w:r>
    </w:p>
    <w:p>
      <w:pPr>
        <w:pStyle w:val="Normal"/>
        <w:widowControl/>
        <w:tabs>
          <w:tab w:val="clear" w:pos="708"/>
          <w:tab w:val="left" w:pos="9923" w:leader="none"/>
        </w:tabs>
        <w:bidi w:val="0"/>
        <w:spacing w:lineRule="auto" w:line="240" w:before="0" w:after="0"/>
        <w:ind w:left="10260" w:right="-449" w:hanging="0"/>
        <w:jc w:val="left"/>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 xml:space="preserve">Пенсійного фонду України в Луганській </w:t>
      </w:r>
    </w:p>
    <w:p>
      <w:pPr>
        <w:pStyle w:val="Normal"/>
        <w:widowControl/>
        <w:tabs>
          <w:tab w:val="clear" w:pos="708"/>
          <w:tab w:val="left" w:pos="9923" w:leader="none"/>
        </w:tabs>
        <w:bidi w:val="0"/>
        <w:spacing w:lineRule="auto" w:line="240" w:before="0" w:after="0"/>
        <w:ind w:left="10260" w:right="-449" w:hanging="0"/>
        <w:jc w:val="left"/>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області від 02.02.2022 № 92)</w:t>
      </w:r>
    </w:p>
    <w:p>
      <w:pPr>
        <w:pStyle w:val="Normal"/>
        <w:tabs>
          <w:tab w:val="clear" w:pos="708"/>
          <w:tab w:val="left" w:pos="9923" w:leader="none"/>
        </w:tabs>
        <w:spacing w:lineRule="auto" w:line="240" w:before="0" w:after="0"/>
        <w:ind w:left="10261" w:hanging="0"/>
        <w:rPr>
          <w:rFonts w:ascii="Times New Roman" w:hAnsi="Times New Roman" w:eastAsia="Times New Roman"/>
          <w:lang w:val="uk-UA" w:eastAsia="ru-RU"/>
        </w:rPr>
      </w:pPr>
      <w:r>
        <w:rPr>
          <w:rFonts w:eastAsia="Times New Roman" w:ascii="Times New Roman" w:hAnsi="Times New Roman"/>
          <w:lang w:val="uk-UA" w:eastAsia="ru-RU"/>
        </w:rPr>
        <w:t>(в редакції наказу</w:t>
      </w:r>
    </w:p>
    <w:p>
      <w:pPr>
        <w:pStyle w:val="Normal"/>
        <w:tabs>
          <w:tab w:val="clear" w:pos="708"/>
          <w:tab w:val="left" w:pos="9923" w:leader="none"/>
        </w:tabs>
        <w:spacing w:lineRule="auto" w:line="240" w:before="0" w:after="0"/>
        <w:ind w:left="10261" w:hanging="0"/>
        <w:rPr>
          <w:rFonts w:ascii="Times New Roman" w:hAnsi="Times New Roman" w:eastAsia="Times New Roman"/>
          <w:lang w:val="uk-UA" w:eastAsia="ru-RU"/>
        </w:rPr>
      </w:pPr>
      <w:r>
        <w:rPr>
          <w:rFonts w:eastAsia="Times New Roman" w:ascii="Times New Roman" w:hAnsi="Times New Roman"/>
          <w:lang w:val="uk-UA" w:eastAsia="ru-RU"/>
        </w:rPr>
        <w:t xml:space="preserve">Головного управління Пенсійного фонду </w:t>
      </w:r>
    </w:p>
    <w:p>
      <w:pPr>
        <w:pStyle w:val="Normal"/>
        <w:tabs>
          <w:tab w:val="clear" w:pos="708"/>
          <w:tab w:val="left" w:pos="9923" w:leader="none"/>
        </w:tabs>
        <w:spacing w:lineRule="auto" w:line="240" w:before="0" w:after="0"/>
        <w:ind w:left="10261" w:hanging="0"/>
        <w:rPr>
          <w:rFonts w:ascii="Times New Roman" w:hAnsi="Times New Roman" w:eastAsia="Times New Roman"/>
          <w:lang w:val="uk-UA" w:eastAsia="ru-RU"/>
        </w:rPr>
      </w:pPr>
      <w:r>
        <w:rPr>
          <w:rFonts w:eastAsia="Times New Roman" w:ascii="Times New Roman" w:hAnsi="Times New Roman"/>
          <w:lang w:val="uk-UA" w:eastAsia="ru-RU"/>
        </w:rPr>
        <w:t xml:space="preserve">України в Луганській області </w:t>
      </w:r>
    </w:p>
    <w:p>
      <w:pPr>
        <w:pStyle w:val="Normal"/>
        <w:tabs>
          <w:tab w:val="clear" w:pos="708"/>
          <w:tab w:val="left" w:pos="9923" w:leader="none"/>
        </w:tabs>
        <w:spacing w:lineRule="auto" w:line="240" w:before="0" w:after="0"/>
        <w:ind w:left="10261" w:hanging="0"/>
        <w:rPr>
          <w:rFonts w:ascii="Times New Roman" w:hAnsi="Times New Roman" w:eastAsia="Times New Roman"/>
          <w:lang w:val="uk-UA" w:eastAsia="ru-RU"/>
        </w:rPr>
      </w:pPr>
      <w:r>
        <w:rPr>
          <w:rFonts w:eastAsia="Times New Roman" w:ascii="Times New Roman" w:hAnsi="Times New Roman"/>
          <w:lang w:val="uk-UA" w:eastAsia="ru-RU"/>
        </w:rPr>
        <w:t xml:space="preserve">від </w:t>
      </w:r>
      <w:r>
        <w:rPr>
          <w:rFonts w:eastAsia="Times New Roman" w:ascii="Times New Roman" w:hAnsi="Times New Roman"/>
          <w:u w:val="single"/>
          <w:lang w:val="uk-UA" w:eastAsia="ru-RU"/>
        </w:rPr>
        <w:t>14.06.</w:t>
      </w:r>
      <w:r>
        <w:rPr>
          <w:rFonts w:eastAsia="Times New Roman" w:ascii="Times New Roman" w:hAnsi="Times New Roman"/>
          <w:u w:val="single"/>
          <w:lang w:val="uk-UA" w:eastAsia="ru-RU"/>
        </w:rPr>
        <w:t>2023</w:t>
      </w:r>
      <w:r>
        <w:rPr>
          <w:rFonts w:eastAsia="Times New Roman" w:ascii="Times New Roman" w:hAnsi="Times New Roman"/>
          <w:lang w:val="uk-UA" w:eastAsia="ru-RU"/>
        </w:rPr>
        <w:t xml:space="preserve"> № </w:t>
      </w:r>
      <w:r>
        <w:rPr>
          <w:rFonts w:eastAsia="Times New Roman" w:ascii="Times New Roman" w:hAnsi="Times New Roman"/>
          <w:u w:val="single"/>
          <w:lang w:val="uk-UA" w:eastAsia="ru-RU"/>
        </w:rPr>
        <w:t>142</w:t>
      </w:r>
      <w:r>
        <w:rPr>
          <w:rFonts w:eastAsia="Times New Roman" w:ascii="Times New Roman" w:hAnsi="Times New Roman"/>
          <w:lang w:val="uk-UA" w:eastAsia="ru-RU"/>
        </w:rPr>
        <w:t>)</w:t>
      </w:r>
    </w:p>
    <w:p>
      <w:pPr>
        <w:pStyle w:val="Normal"/>
        <w:tabs>
          <w:tab w:val="clear" w:pos="708"/>
          <w:tab w:val="left" w:pos="0" w:leader="none"/>
        </w:tabs>
        <w:spacing w:lineRule="auto" w:line="240" w:before="0" w:after="0"/>
        <w:ind w:firstLine="720"/>
        <w:jc w:val="center"/>
        <w:rPr>
          <w:rFonts w:ascii="Times New Roman" w:hAnsi="Times New Roman"/>
          <w:b/>
          <w:b/>
          <w:lang w:val="uk-UA"/>
        </w:rPr>
      </w:pPr>
      <w:r>
        <w:rPr>
          <w:rFonts w:ascii="Times New Roman" w:hAnsi="Times New Roman"/>
          <w:b/>
          <w:lang w:val="uk-UA"/>
        </w:rPr>
      </w:r>
    </w:p>
    <w:p>
      <w:pPr>
        <w:pStyle w:val="Normal"/>
        <w:tabs>
          <w:tab w:val="clear" w:pos="708"/>
          <w:tab w:val="left" w:pos="0" w:leader="none"/>
        </w:tabs>
        <w:spacing w:lineRule="auto" w:line="240" w:before="0" w:after="0"/>
        <w:ind w:firstLine="720"/>
        <w:jc w:val="center"/>
        <w:rPr>
          <w:rFonts w:ascii="Times New Roman" w:hAnsi="Times New Roman"/>
          <w:b/>
          <w:b/>
          <w:sz w:val="24"/>
          <w:szCs w:val="24"/>
          <w:lang w:val="uk-UA"/>
        </w:rPr>
      </w:pPr>
      <w:r>
        <w:rPr>
          <w:rFonts w:ascii="Times New Roman" w:hAnsi="Times New Roman"/>
          <w:b/>
          <w:sz w:val="24"/>
          <w:szCs w:val="24"/>
          <w:lang w:val="uk-UA"/>
        </w:rPr>
      </w:r>
    </w:p>
    <w:p>
      <w:pPr>
        <w:pStyle w:val="Normal"/>
        <w:tabs>
          <w:tab w:val="clear" w:pos="708"/>
          <w:tab w:val="left" w:pos="0" w:leader="none"/>
        </w:tabs>
        <w:spacing w:lineRule="auto" w:line="240" w:before="0" w:after="0"/>
        <w:ind w:firstLine="720"/>
        <w:jc w:val="center"/>
        <w:rPr>
          <w:rFonts w:ascii="Times New Roman" w:hAnsi="Times New Roman"/>
          <w:b/>
          <w:b/>
          <w:sz w:val="24"/>
          <w:szCs w:val="24"/>
          <w:lang w:val="uk-UA"/>
        </w:rPr>
      </w:pPr>
      <w:r>
        <w:rPr>
          <w:rFonts w:ascii="Times New Roman" w:hAnsi="Times New Roman"/>
          <w:b/>
          <w:sz w:val="24"/>
          <w:szCs w:val="24"/>
          <w:lang w:val="uk-UA"/>
        </w:rPr>
        <w:t xml:space="preserve">Заходи щодо усунення (мінімізації) корупційних ризиків у діяльності </w:t>
      </w:r>
    </w:p>
    <w:p>
      <w:pPr>
        <w:pStyle w:val="Normal"/>
        <w:tabs>
          <w:tab w:val="clear" w:pos="708"/>
          <w:tab w:val="left" w:pos="0" w:leader="none"/>
        </w:tabs>
        <w:spacing w:lineRule="auto" w:line="240" w:before="0" w:after="0"/>
        <w:ind w:firstLine="720"/>
        <w:jc w:val="center"/>
        <w:rPr>
          <w:rFonts w:ascii="Times New Roman" w:hAnsi="Times New Roman"/>
          <w:b/>
          <w:b/>
          <w:sz w:val="24"/>
          <w:szCs w:val="24"/>
          <w:lang w:val="uk-UA"/>
        </w:rPr>
      </w:pPr>
      <w:r>
        <w:rPr>
          <w:rFonts w:ascii="Times New Roman" w:hAnsi="Times New Roman"/>
          <w:b/>
          <w:sz w:val="24"/>
          <w:szCs w:val="24"/>
          <w:lang w:val="uk-UA"/>
        </w:rPr>
        <w:t>Головного управління Пенсійного фонду України в Луганській області на 2021–2023 роки</w:t>
      </w:r>
    </w:p>
    <w:p>
      <w:pPr>
        <w:pStyle w:val="Normal"/>
        <w:tabs>
          <w:tab w:val="clear" w:pos="708"/>
          <w:tab w:val="left" w:pos="0" w:leader="none"/>
        </w:tabs>
        <w:spacing w:lineRule="auto" w:line="240" w:before="0" w:after="0"/>
        <w:ind w:firstLine="720"/>
        <w:jc w:val="center"/>
        <w:rPr>
          <w:rFonts w:ascii="Times New Roman" w:hAnsi="Times New Roman"/>
          <w:b/>
          <w:b/>
          <w:sz w:val="28"/>
          <w:szCs w:val="28"/>
          <w:lang w:val="uk-UA"/>
        </w:rPr>
      </w:pPr>
      <w:r>
        <w:rPr>
          <w:rFonts w:ascii="Times New Roman" w:hAnsi="Times New Roman"/>
          <w:b/>
          <w:sz w:val="28"/>
          <w:szCs w:val="28"/>
          <w:lang w:val="uk-UA"/>
        </w:rPr>
      </w:r>
    </w:p>
    <w:tbl>
      <w:tblPr>
        <w:tblpPr w:bottomFromText="0" w:horzAnchor="text" w:leftFromText="180" w:rightFromText="180" w:tblpX="-542" w:tblpY="1" w:topFromText="0" w:vertAnchor="text"/>
        <w:tblW w:w="16128" w:type="dxa"/>
        <w:jc w:val="center"/>
        <w:tblInd w:w="0" w:type="dxa"/>
        <w:tblLayout w:type="fixed"/>
        <w:tblCellMar>
          <w:top w:w="0" w:type="dxa"/>
          <w:left w:w="108" w:type="dxa"/>
          <w:bottom w:w="0" w:type="dxa"/>
          <w:right w:w="108" w:type="dxa"/>
        </w:tblCellMar>
        <w:tblLook w:firstRow="1" w:noVBand="1" w:lastRow="0" w:firstColumn="1" w:lastColumn="0" w:noHBand="0" w:val="04a0"/>
      </w:tblPr>
      <w:tblGrid>
        <w:gridCol w:w="527"/>
        <w:gridCol w:w="569"/>
        <w:gridCol w:w="2834"/>
        <w:gridCol w:w="1135"/>
        <w:gridCol w:w="3400"/>
        <w:gridCol w:w="1808"/>
        <w:gridCol w:w="40"/>
        <w:gridCol w:w="1700"/>
        <w:gridCol w:w="1532"/>
        <w:gridCol w:w="39"/>
        <w:gridCol w:w="2514"/>
        <w:gridCol w:w="28"/>
      </w:tblGrid>
      <w:tr>
        <w:trPr>
          <w:tblHeader w:val="true"/>
        </w:trPr>
        <w:tc>
          <w:tcPr>
            <w:tcW w:w="527"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 xml:space="preserve">№ </w:t>
            </w:r>
            <w:r>
              <w:rPr>
                <w:rFonts w:ascii="Times New Roman" w:hAnsi="Times New Roman"/>
                <w:b/>
                <w:sz w:val="24"/>
                <w:szCs w:val="24"/>
                <w:lang w:val="uk-UA"/>
              </w:rPr>
              <w:t>з/п</w:t>
            </w:r>
          </w:p>
        </w:tc>
        <w:tc>
          <w:tcPr>
            <w:tcW w:w="569"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r>
          </w:p>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r>
          </w:p>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w:t>
            </w:r>
          </w:p>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в АП</w:t>
            </w:r>
          </w:p>
        </w:tc>
        <w:tc>
          <w:tcPr>
            <w:tcW w:w="2834"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Корупційний ризик</w:t>
            </w:r>
          </w:p>
        </w:tc>
        <w:tc>
          <w:tcPr>
            <w:tcW w:w="1135"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spacing w:lineRule="auto" w:line="240" w:before="0" w:after="0"/>
              <w:jc w:val="center"/>
              <w:rPr>
                <w:rFonts w:ascii="Times New Roman" w:hAnsi="Times New Roman" w:eastAsia="Times New Roman"/>
                <w:b/>
                <w:b/>
                <w:sz w:val="24"/>
                <w:szCs w:val="24"/>
                <w:lang w:val="uk-UA" w:eastAsia="ru-RU"/>
              </w:rPr>
            </w:pPr>
            <w:r>
              <w:rPr>
                <w:rFonts w:eastAsia="Times New Roman" w:ascii="Times New Roman" w:hAnsi="Times New Roman"/>
                <w:b/>
                <w:sz w:val="24"/>
                <w:szCs w:val="24"/>
                <w:lang w:val="uk-UA" w:eastAsia="ru-RU"/>
              </w:rPr>
              <w:t>Пріори-</w:t>
            </w:r>
          </w:p>
          <w:p>
            <w:pPr>
              <w:pStyle w:val="Normal"/>
              <w:widowControl w:val="false"/>
              <w:spacing w:lineRule="auto" w:line="240" w:before="0" w:after="0"/>
              <w:jc w:val="center"/>
              <w:rPr>
                <w:rFonts w:ascii="Times New Roman" w:hAnsi="Times New Roman"/>
                <w:b/>
                <w:b/>
                <w:sz w:val="24"/>
                <w:szCs w:val="24"/>
                <w:lang w:val="uk-UA"/>
              </w:rPr>
            </w:pPr>
            <w:r>
              <w:rPr>
                <w:rFonts w:eastAsia="Times New Roman" w:ascii="Times New Roman" w:hAnsi="Times New Roman"/>
                <w:b/>
                <w:sz w:val="24"/>
                <w:szCs w:val="24"/>
                <w:lang w:val="uk-UA" w:eastAsia="ru-RU"/>
              </w:rPr>
              <w:t>тетність</w:t>
            </w:r>
          </w:p>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Заходи щодо усунення корупційного ризику</w:t>
            </w:r>
          </w:p>
        </w:tc>
        <w:tc>
          <w:tcPr>
            <w:tcW w:w="1808"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Особа (особи), відповідальна (і) за виконання заходу</w:t>
            </w:r>
          </w:p>
        </w:tc>
        <w:tc>
          <w:tcPr>
            <w:tcW w:w="1740"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spacing w:lineRule="auto" w:line="240" w:before="0" w:after="0"/>
              <w:jc w:val="center"/>
              <w:rPr>
                <w:rFonts w:ascii="Times New Roman" w:hAnsi="Times New Roman"/>
                <w:b/>
                <w:b/>
                <w:sz w:val="24"/>
                <w:szCs w:val="24"/>
                <w:lang w:val="uk-UA"/>
              </w:rPr>
            </w:pPr>
            <w:r>
              <w:rPr>
                <w:rFonts w:eastAsia="Times New Roman" w:ascii="Times New Roman" w:hAnsi="Times New Roman"/>
                <w:b/>
                <w:sz w:val="24"/>
                <w:szCs w:val="24"/>
                <w:lang w:val="uk-UA" w:eastAsia="ru-RU"/>
              </w:rPr>
              <w:t>Строк виконання заходів щодо усунення корупційного ризику</w:t>
            </w:r>
          </w:p>
        </w:tc>
        <w:tc>
          <w:tcPr>
            <w:tcW w:w="1532"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Необхідні для впровадження заходів ресурси</w:t>
            </w:r>
          </w:p>
        </w:tc>
        <w:tc>
          <w:tcPr>
            <w:tcW w:w="2553"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Очікувані результати</w:t>
            </w:r>
          </w:p>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(індикатори виконання)</w:t>
            </w:r>
          </w:p>
        </w:tc>
        <w:tc>
          <w:tcPr>
            <w:tcW w:w="28" w:type="dxa"/>
            <w:tcBorders/>
          </w:tcPr>
          <w:p>
            <w:pPr>
              <w:pStyle w:val="Normal"/>
              <w:widowControl w:val="false"/>
              <w:spacing w:before="0" w:after="200"/>
              <w:rPr/>
            </w:pPr>
            <w:r>
              <w:rPr/>
            </w:r>
          </w:p>
        </w:tc>
      </w:tr>
      <w:tr>
        <w:trPr/>
        <w:tc>
          <w:tcPr>
            <w:tcW w:w="1096"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tabs>
                <w:tab w:val="clear" w:pos="708"/>
                <w:tab w:val="left" w:pos="0" w:leader="none"/>
              </w:tabs>
              <w:spacing w:lineRule="auto" w:line="240" w:before="0" w:after="0"/>
              <w:jc w:val="center"/>
              <w:rPr>
                <w:rFonts w:ascii="Times New Roman" w:hAnsi="Times New Roman"/>
                <w:b/>
                <w:b/>
                <w:bCs/>
                <w:sz w:val="24"/>
                <w:szCs w:val="24"/>
                <w:lang w:val="uk-UA"/>
              </w:rPr>
            </w:pPr>
            <w:r>
              <w:rPr>
                <w:rFonts w:ascii="Times New Roman" w:hAnsi="Times New Roman"/>
                <w:b/>
                <w:bCs/>
                <w:sz w:val="24"/>
                <w:szCs w:val="24"/>
                <w:lang w:val="uk-UA"/>
              </w:rPr>
            </w:r>
          </w:p>
        </w:tc>
        <w:tc>
          <w:tcPr>
            <w:tcW w:w="15002" w:type="dxa"/>
            <w:gridSpan w:val="9"/>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tabs>
                <w:tab w:val="clear" w:pos="708"/>
                <w:tab w:val="left" w:pos="0" w:leader="none"/>
              </w:tabs>
              <w:spacing w:lineRule="auto" w:line="240" w:before="0" w:after="0"/>
              <w:jc w:val="center"/>
              <w:rPr>
                <w:rFonts w:ascii="Times New Roman" w:hAnsi="Times New Roman"/>
                <w:b/>
                <w:b/>
                <w:sz w:val="24"/>
                <w:szCs w:val="24"/>
                <w:lang w:val="uk-UA"/>
              </w:rPr>
            </w:pPr>
            <w:r>
              <w:rPr>
                <w:rFonts w:ascii="Times New Roman" w:hAnsi="Times New Roman"/>
                <w:b/>
                <w:bCs/>
                <w:sz w:val="24"/>
                <w:szCs w:val="24"/>
                <w:lang w:val="uk-UA"/>
              </w:rPr>
              <w:t>Реалізація державної політики з питань пенсійного забезпечення</w:t>
            </w:r>
          </w:p>
        </w:tc>
        <w:tc>
          <w:tcPr>
            <w:tcW w:w="28" w:type="dxa"/>
            <w:tcBorders/>
          </w:tcPr>
          <w:p>
            <w:pPr>
              <w:pStyle w:val="Normal"/>
              <w:widowControl w:val="false"/>
              <w:spacing w:before="0" w:after="200"/>
              <w:rPr/>
            </w:pPr>
            <w:r>
              <w:rPr/>
            </w:r>
          </w:p>
        </w:tc>
      </w:tr>
      <w:tr>
        <w:trPr>
          <w:trHeight w:val="983" w:hRule="atLeast"/>
        </w:trPr>
        <w:tc>
          <w:tcPr>
            <w:tcW w:w="5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1</w:t>
            </w:r>
          </w:p>
        </w:tc>
        <w:tc>
          <w:tcPr>
            <w:tcW w:w="56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1</w:t>
            </w:r>
          </w:p>
        </w:tc>
        <w:tc>
          <w:tcPr>
            <w:tcW w:w="283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trike/>
                <w:sz w:val="24"/>
                <w:szCs w:val="24"/>
                <w:lang w:val="uk-UA"/>
              </w:rPr>
            </w:pPr>
            <w:r>
              <w:rPr>
                <w:rFonts w:ascii="Times New Roman" w:hAnsi="Times New Roman"/>
                <w:sz w:val="24"/>
                <w:szCs w:val="24"/>
                <w:lang w:val="uk-UA"/>
              </w:rPr>
              <w:t xml:space="preserve">Можливість зловживання службовим становищем, </w:t>
            </w:r>
            <w:r>
              <w:rPr>
                <w:rFonts w:eastAsia="Times New Roman" w:ascii="Times New Roman" w:hAnsi="Times New Roman"/>
                <w:sz w:val="24"/>
                <w:szCs w:val="24"/>
                <w:lang w:val="uk-UA"/>
              </w:rPr>
              <w:t>отримання неправомірної вигоди</w:t>
            </w:r>
            <w:r>
              <w:rPr>
                <w:rFonts w:ascii="Times New Roman" w:hAnsi="Times New Roman"/>
                <w:sz w:val="24"/>
                <w:szCs w:val="24"/>
                <w:lang w:val="uk-UA"/>
              </w:rPr>
              <w:t xml:space="preserve"> під час надання послуг у сфері пенсійного забезпечення, ведення обліку осіб, які підлягають загальнообов’язковому державному соціальному страхуванню</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13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висока</w:t>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Calibri" w:eastAsiaTheme="minorHAnsi"/>
                <w:sz w:val="24"/>
                <w:szCs w:val="24"/>
                <w:lang w:val="uk-UA"/>
              </w:rPr>
            </w:pPr>
            <w:r>
              <w:rPr>
                <w:rFonts w:eastAsia="Calibri" w:ascii="Times New Roman" w:hAnsi="Times New Roman" w:eastAsiaTheme="minorHAnsi"/>
                <w:sz w:val="24"/>
                <w:szCs w:val="24"/>
                <w:lang w:val="uk-UA"/>
              </w:rPr>
              <w:t>1.1 Стандартизація та оптимізація процедур під час надання послуг у сфері пенсійного забезпечення, ведення обліку осіб, які підлягають загальнообов’язковому державному соціальному страхуванню в Головному управлінні Пенсійного фонду України в Луганській області (далі – Головне управління)</w:t>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Нікітіна Т.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Яценко О.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eastAsia="ru-RU"/>
              </w:rPr>
              <w:t>Горбатенк</w:t>
            </w:r>
            <w:r>
              <w:rPr>
                <w:rFonts w:eastAsia="Times New Roman" w:ascii="Times New Roman" w:hAnsi="Times New Roman"/>
                <w:sz w:val="24"/>
                <w:szCs w:val="24"/>
                <w:lang w:val="uk-UA" w:eastAsia="ru-RU"/>
              </w:rPr>
              <w:t>о</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eastAsia="ru-RU"/>
              </w:rPr>
              <w:t>О.</w:t>
            </w:r>
            <w:r>
              <w:rPr>
                <w:rFonts w:eastAsia="Times New Roman" w:ascii="Times New Roman" w:hAnsi="Times New Roman"/>
                <w:sz w:val="24"/>
                <w:szCs w:val="24"/>
                <w:lang w:val="uk-UA" w:eastAsia="ru-RU"/>
              </w:rPr>
              <w:t xml:space="preserve"> </w:t>
            </w:r>
            <w:r>
              <w:rPr>
                <w:rFonts w:eastAsia="Times New Roman" w:ascii="Times New Roman" w:hAnsi="Times New Roman"/>
                <w:sz w:val="24"/>
                <w:szCs w:val="24"/>
                <w:lang w:eastAsia="ru-RU"/>
              </w:rPr>
              <w:t>Є.</w:t>
            </w:r>
            <w:r>
              <w:rPr>
                <w:rFonts w:eastAsia="Times New Roman" w:ascii="Times New Roman" w:hAnsi="Times New Roman"/>
                <w:sz w:val="24"/>
                <w:szCs w:val="24"/>
                <w:lang w:val="uk-UA" w:eastAsia="ru-RU"/>
              </w:rPr>
              <w:t>,</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ВОГ</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Постійно (за наявності змін щодо надання послуг у сфері пенсійного забезпечення та ведення обліку осіб, які підлягають загальнообов</w:t>
            </w:r>
            <w:r>
              <w:rPr>
                <w:rFonts w:ascii="Times New Roman" w:hAnsi="Times New Roman"/>
                <w:sz w:val="24"/>
                <w:szCs w:val="24"/>
              </w:rPr>
              <w:t>’</w:t>
            </w:r>
            <w:r>
              <w:rPr>
                <w:rFonts w:ascii="Times New Roman" w:hAnsi="Times New Roman"/>
                <w:sz w:val="24"/>
                <w:szCs w:val="24"/>
                <w:lang w:val="uk-UA"/>
              </w:rPr>
              <w:t>язковому державному соціальному страхуванню)</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не потребує</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додаткових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center" w:pos="1817" w:leader="none"/>
              </w:tabs>
              <w:spacing w:lineRule="auto" w:line="240" w:before="0" w:after="0"/>
              <w:jc w:val="both"/>
              <w:rPr>
                <w:rFonts w:ascii="Times New Roman" w:hAnsi="Times New Roman" w:eastAsia="Calibri" w:eastAsiaTheme="minorHAnsi"/>
                <w:sz w:val="24"/>
                <w:szCs w:val="24"/>
                <w:lang w:val="uk-UA"/>
              </w:rPr>
            </w:pPr>
            <w:r>
              <w:rPr>
                <w:rFonts w:ascii="Times New Roman" w:hAnsi="Times New Roman"/>
                <w:sz w:val="24"/>
                <w:szCs w:val="24"/>
                <w:lang w:val="uk-UA"/>
              </w:rPr>
              <w:t xml:space="preserve">Застосовуються уніфіковані процедури надання </w:t>
            </w:r>
            <w:r>
              <w:rPr>
                <w:rFonts w:eastAsia="Calibri" w:ascii="Times New Roman" w:hAnsi="Times New Roman" w:eastAsiaTheme="minorHAnsi"/>
                <w:sz w:val="24"/>
                <w:szCs w:val="24"/>
                <w:lang w:val="uk-UA"/>
              </w:rPr>
              <w:t xml:space="preserve">послуг у сфері пенсійного забезпечення, ведення обліку осіб, які підлягають загальнообов’язковому державному соціальному страхуванню, уніфіковано процеси обслуговування осіб у </w:t>
            </w:r>
            <w:r>
              <w:rPr>
                <w:lang w:val="uk-UA"/>
              </w:rPr>
              <w:t xml:space="preserve"> </w:t>
            </w:r>
            <w:r>
              <w:rPr>
                <w:rFonts w:eastAsia="Calibri" w:ascii="Times New Roman" w:hAnsi="Times New Roman" w:eastAsiaTheme="minorHAnsi"/>
                <w:sz w:val="24"/>
                <w:szCs w:val="24"/>
                <w:lang w:val="uk-UA"/>
              </w:rPr>
              <w:t>Головному управлінні</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2</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прийняття рішення в умовах реального конфлікту інтересів у зв’язку з розглядом повторних звернень, якими оскаржується діяльність посадових осіб Головного управління</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3.1 Опрацювання критеріїв, які необхідні для здійснення моніторингу за розглядом повторних звернень та скарг на дії/бездіяльність посадових осіб Головного управління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Нікітіна Т.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Горбатенко</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О. Є.,</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31.12.2022</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додаткових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 xml:space="preserve"> </w:t>
            </w:r>
            <w:r>
              <w:rPr>
                <w:rFonts w:ascii="Times New Roman" w:hAnsi="Times New Roman"/>
                <w:color w:val="191919"/>
                <w:sz w:val="24"/>
                <w:szCs w:val="24"/>
                <w:shd w:fill="FFFFFF" w:val="clear"/>
                <w:lang w:val="uk-UA"/>
              </w:rPr>
              <w:t>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Критерії здійснення моніторингу визначені та доведені до відома працівників Головного управління</w:t>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3.2 Впровадження моніторингу за розглядом повторних звернень та скарг на дії/бездіяльність посадових осіб Головного управління</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Нікітіна Т.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Горбатенко</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О. Є.,</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 Головного управління</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щоквартально</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додаткових</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ресурсів</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Моніторинг впроваджено, про його результати інформується керівництво Головного управління</w:t>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3</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000000"/>
                <w:sz w:val="24"/>
                <w:szCs w:val="24"/>
                <w:lang w:val="uk-UA" w:eastAsia="uk-UA"/>
              </w:rPr>
            </w:pPr>
            <w:r>
              <w:rPr>
                <w:rFonts w:ascii="Times New Roman" w:hAnsi="Times New Roman"/>
                <w:color w:val="000000"/>
                <w:sz w:val="24"/>
                <w:szCs w:val="24"/>
                <w:lang w:val="uk-UA" w:eastAsia="uk-UA"/>
              </w:rPr>
              <w:t>4</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000000"/>
                <w:sz w:val="24"/>
                <w:szCs w:val="24"/>
                <w:lang w:val="uk-UA" w:eastAsia="uk-UA"/>
              </w:rPr>
              <w:t>Можливість надання переваг під час призначення/перерахунку та виплати пенсій з метою отримання неправомірної вигоди</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висока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4.1 Впровадження моніторингу з використанням  інтегрованої комплексної інформаційної системи (далі – ІКІС) Фонду щодо нарахування сум пенсій за визначеними ризик-орієнтованими критеріями</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Нікітіна Т.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Яценко О.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Пастушок</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О.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щоквартально</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 межах коштів, передбаче</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кошторисом</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Головного управління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Впроваджено моніторинг контролю з використанням ІКІС Фонду проведення нарахування пенсій, про його результати інформується керівництво </w:t>
            </w:r>
            <w:r>
              <w:rPr>
                <w:lang w:val="uk-UA"/>
              </w:rPr>
              <w:t xml:space="preserve"> </w:t>
            </w:r>
            <w:r>
              <w:rPr>
                <w:rFonts w:ascii="Times New Roman" w:hAnsi="Times New Roman"/>
                <w:sz w:val="24"/>
                <w:szCs w:val="24"/>
                <w:lang w:val="uk-UA"/>
              </w:rPr>
              <w:t xml:space="preserve">Головного управління  для прийняття управлінських рішень (за необхідності). </w:t>
            </w:r>
            <w:r>
              <w:rPr>
                <w:rFonts w:ascii="Times New Roman" w:hAnsi="Times New Roman"/>
                <w:spacing w:val="-2"/>
                <w:sz w:val="24"/>
                <w:szCs w:val="24"/>
                <w:lang w:val="uk-UA"/>
              </w:rPr>
              <w:t xml:space="preserve">Визначено перелік ризик-орієнтованих критеріїв вибірки </w:t>
            </w:r>
            <w:r>
              <w:rPr>
                <w:rFonts w:ascii="Times New Roman" w:hAnsi="Times New Roman"/>
                <w:sz w:val="24"/>
                <w:szCs w:val="24"/>
                <w:lang w:val="uk-UA"/>
              </w:rPr>
              <w:t>нарахованих сум пенсій</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4</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5</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отримання неправомірної вигоди під час розгляду документів щодо виплати внутрішньо переміщеним особам сум пенсій, нарахованих за період до місяця їх відновлення (далі –заборгованість з пенсійних виплат)</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висока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000000"/>
                <w:sz w:val="24"/>
                <w:szCs w:val="24"/>
                <w:lang w:val="uk-UA" w:eastAsia="uk-UA"/>
              </w:rPr>
            </w:pPr>
            <w:r>
              <w:rPr>
                <w:rFonts w:ascii="Times New Roman" w:hAnsi="Times New Roman"/>
                <w:sz w:val="24"/>
                <w:szCs w:val="24"/>
                <w:lang w:val="uk-UA"/>
              </w:rPr>
              <w:t xml:space="preserve">5.1 Підготовка пропозицій до проєкту акта Кабінету Міністрів України щодо внесення змін до деяких нормативно-правових актів в частині визначення порядку </w:t>
            </w:r>
            <w:r>
              <w:rPr>
                <w:rFonts w:ascii="Times New Roman" w:hAnsi="Times New Roman"/>
                <w:color w:val="000000"/>
                <w:sz w:val="24"/>
                <w:szCs w:val="24"/>
                <w:lang w:val="uk-UA" w:eastAsia="uk-UA"/>
              </w:rPr>
              <w:t>виплати заборгованості пенсійних виплат внутрішньо переміщеним особам</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Нікітіна Т.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Яценко О.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Пастушок</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О.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highlight w:val="yellow"/>
                <w:lang w:val="uk-UA"/>
              </w:rPr>
            </w:pPr>
            <w:r>
              <w:rPr>
                <w:rFonts w:ascii="Times New Roman" w:hAnsi="Times New Roman"/>
                <w:color w:val="191919"/>
                <w:sz w:val="24"/>
                <w:szCs w:val="24"/>
                <w:shd w:fill="FFFFFF" w:val="clear"/>
                <w:lang w:val="uk-UA"/>
              </w:rPr>
              <w:t>31.12.2021</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додаткових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 xml:space="preserve"> </w:t>
            </w:r>
            <w:r>
              <w:rPr>
                <w:rFonts w:ascii="Times New Roman" w:hAnsi="Times New Roman"/>
                <w:color w:val="191919"/>
                <w:sz w:val="24"/>
                <w:szCs w:val="24"/>
                <w:shd w:fill="FFFFFF" w:val="clear"/>
                <w:lang w:val="uk-UA"/>
              </w:rPr>
              <w:t>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iCs/>
                <w:sz w:val="24"/>
                <w:szCs w:val="24"/>
                <w:lang w:val="uk-UA"/>
              </w:rPr>
              <w:t>Підготовлено відповідні пропозиції до проєкту акта Пенсійного фонду України</w:t>
            </w:r>
          </w:p>
        </w:tc>
      </w:tr>
      <w:tr>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5</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6</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отримання неправомірної вигоди під час нарахування та виплати пенсій на виконання рішень суду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6.1 Впровадження регламенту взаємодії підрозділів територіальних органів Фонду під час виконання рішень суду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Нікітіна Т.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Яценко О.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Пастушок</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О. 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31.03.2022</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додаткових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Впроваджено регламент</w:t>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6.2 Надання пропозицій щодо нормативно-правового врегулювання порядку та черговості виплати заборгованості за рішеннями суду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Нікітіна Т.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Пастушок</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О. 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31.03.2022</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додаткових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Надано пропозиції щодо нормативно-правового врегулювання порядку та черговості виплати заборгованості за рішеннями суду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c>
          <w:tcPr>
            <w:tcW w:w="3930" w:type="dxa"/>
            <w:gridSpan w:val="3"/>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r>
          </w:p>
        </w:tc>
        <w:tc>
          <w:tcPr>
            <w:tcW w:w="12168" w:type="dxa"/>
            <w:gridSpan w:val="8"/>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b/>
                <w:sz w:val="24"/>
                <w:szCs w:val="24"/>
                <w:lang w:val="uk-UA"/>
              </w:rPr>
              <w:t>Правова робота</w:t>
            </w:r>
          </w:p>
        </w:tc>
        <w:tc>
          <w:tcPr>
            <w:tcW w:w="28" w:type="dxa"/>
            <w:tcBorders/>
          </w:tcPr>
          <w:p>
            <w:pPr>
              <w:pStyle w:val="Normal"/>
              <w:widowControl w:val="false"/>
              <w:spacing w:before="0" w:after="200"/>
              <w:rPr/>
            </w:pPr>
            <w:r>
              <w:rPr/>
            </w:r>
          </w:p>
        </w:tc>
      </w:tr>
      <w:tr>
        <w:trPr/>
        <w:tc>
          <w:tcPr>
            <w:tcW w:w="527"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6</w:t>
            </w:r>
          </w:p>
        </w:tc>
        <w:tc>
          <w:tcPr>
            <w:tcW w:w="569"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7</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отримання неправомірної вигоди за неналежне представництво інтересів Фонду та його органів у суді</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7.1 Участь у розробці та використання зразків викладення правової позиції Головного управління у справах, що мають однаковий предмет спору</w:t>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структурних підрозділів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Юридичного управління</w:t>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протягом</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2021–2023 років</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додаткових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Розроблено зразки викладення правової позиції органів Фонду у справах, що мають однаковий предмет спору, які використовуються Головним управлінням. Забезпечено ефективний захист Головного управління у судах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7.2 Підвищення кваліфікації посадових осіб, які виконують повноваження представництва інтересів Головного управління  у судах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згідно з окремим графіком</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 межах коштів, передбаче</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кошторисом</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Головного управління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Забезпечено постійне підвищення кваліфікації посадових осіб, які виконують повноваження представництва інтересів Головного управління та його органів у судах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7.3  Проведення тематичних перевірок якості представництва інтересів у судах, у разі виявлення порушень – вжиття заходів реагування згідно з чинним законодавством</w:t>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згідно з окремим планом проведення перевірок</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 межах коштів, передбаче</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кошторисом</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Головного управління</w:t>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Здійснено перевірки якості представництва інтересів Головного управління в судах, вжито заходи реагування (у разі виявлення порушень)</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7.4 Впровадження для використання під час представництва інтересів в судах рекомендованих зразків обґрунтування правових позицій</w:t>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31.03.2022</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Впроваджено для використання під час представництва інтересів в судах рекомендованих зразків обґрунтування правових позицій у однотипних справах, за якими судова практика не однакова та має перспективу вирішення спору на користь Головного управління</w:t>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left" w:pos="1149" w:leader="none"/>
              </w:tabs>
              <w:spacing w:lineRule="auto" w:line="240" w:before="0" w:after="0"/>
              <w:jc w:val="both"/>
              <w:rPr>
                <w:rFonts w:ascii="Times New Roman" w:hAnsi="Times New Roman"/>
                <w:sz w:val="24"/>
                <w:szCs w:val="24"/>
                <w:lang w:val="uk-UA"/>
              </w:rPr>
            </w:pPr>
            <w:r>
              <w:rPr>
                <w:rFonts w:ascii="Times New Roman" w:hAnsi="Times New Roman"/>
                <w:sz w:val="24"/>
                <w:szCs w:val="24"/>
                <w:lang w:val="uk-UA"/>
              </w:rPr>
              <w:t>7.5 Впровадження щорічного вибіркового моніторингу уповноваженим підрозділом з питань запобігання та виявлення корупції  прийнятих судових рішень за участю Головного управління у справах, які прийняті не на користь Головного управління щодо виявлення особистої заінтересованості представників Головного управління у результатах розгляду таких справ та інформування начальника Головного управління та начальника юридичної служби про результати здійсненного моніторингу</w:t>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31.12.2022</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31.12.2023</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tabs>
                <w:tab w:val="clear" w:pos="708"/>
                <w:tab w:val="center" w:pos="742" w:leader="none"/>
              </w:tabs>
              <w:spacing w:before="0" w:after="200"/>
              <w:rPr>
                <w:rFonts w:ascii="Times New Roman" w:hAnsi="Times New Roman"/>
                <w:sz w:val="24"/>
                <w:szCs w:val="24"/>
                <w:lang w:val="uk-UA"/>
              </w:rPr>
            </w:pPr>
            <w:r>
              <w:rPr>
                <w:rFonts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Впроваджено моніторинг, проінформовано про результати моніторингу</w:t>
            </w:r>
            <w:r>
              <w:rPr/>
              <w:t xml:space="preserve"> </w:t>
            </w:r>
            <w:r>
              <w:rPr>
                <w:rFonts w:ascii="Times New Roman" w:hAnsi="Times New Roman"/>
                <w:sz w:val="24"/>
                <w:szCs w:val="24"/>
                <w:lang w:val="uk-UA"/>
              </w:rPr>
              <w:t>начальника Головного управління та начальника юридичної служби, із наданням пропозицій щодо прийняття управлінських рішень</w:t>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7.6 Підготовка оглядів судової правової практики за участю </w:t>
            </w:r>
            <w:r>
              <w:rPr/>
              <w:t xml:space="preserve"> </w:t>
            </w:r>
            <w:r>
              <w:rPr>
                <w:rFonts w:ascii="Times New Roman" w:hAnsi="Times New Roman"/>
                <w:sz w:val="24"/>
                <w:szCs w:val="24"/>
                <w:lang w:val="uk-UA"/>
              </w:rPr>
              <w:t>Головного управління</w:t>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постійно, але не рідше ніж двічі на рік</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додаткових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Огляди направлено структурним підрозділам Юридичного управління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7</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8</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надання переваг шляхом прийняття необґрунтованих рішень за результатом розгляду скарг на рішення про накладання штрафу, нарахування пені та під час узгодження вимог про сплату недоїмки</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8.1 Впровадження автоматизованого визначення зацікавлених структурних підрозділів для погодження рішення, прийнятого за результатами розгляду скарги</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Приймак Е. Д.,</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Назарова Я. Б.</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highlight w:val="yellow"/>
                <w:lang w:val="uk-UA"/>
              </w:rPr>
            </w:pPr>
            <w:r>
              <w:rPr>
                <w:rFonts w:ascii="Times New Roman" w:hAnsi="Times New Roman"/>
                <w:sz w:val="24"/>
                <w:szCs w:val="24"/>
                <w:lang w:val="uk-UA"/>
              </w:rPr>
              <w:t>31.12.2021</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 межах коштів, передбаче-них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кошторисом</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Фонду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Впроваджено  в системі електронного документообігу автоматизованого погодження з усіма зацікавленими структурними підрозділами рішення, прийнятого за результатами розгляду скарги</w:t>
            </w:r>
          </w:p>
        </w:tc>
      </w:tr>
      <w:tr>
        <w:trPr>
          <w:trHeight w:val="1851" w:hRule="atLeast"/>
        </w:trPr>
        <w:tc>
          <w:tcPr>
            <w:tcW w:w="527"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8</w:t>
            </w:r>
          </w:p>
        </w:tc>
        <w:tc>
          <w:tcPr>
            <w:tcW w:w="569"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9</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отримати та/або вимагати неправомірну вигоду за незабезпечення апеляційного оскарження рішень суду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9.1 Впровадження автоматизованого обліку справ за участю органів Фонду в судах, виконавчих проваджень.</w:t>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Баранов П. В.,</w:t>
            </w:r>
          </w:p>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Селівьорстова Ю. А.,</w:t>
            </w:r>
          </w:p>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highlight w:val="none"/>
                <w:shd w:fill="auto" w:val="clear"/>
                <w:lang w:val="uk-UA" w:eastAsia="ru-RU"/>
              </w:rPr>
            </w:pPr>
            <w:r>
              <w:rPr>
                <w:rFonts w:eastAsia="Times New Roman" w:ascii="Times New Roman" w:hAnsi="Times New Roman"/>
                <w:sz w:val="24"/>
                <w:szCs w:val="24"/>
                <w:shd w:fill="auto" w:val="clear"/>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31.12.2023</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в межах коштів, передбаче</w:t>
            </w:r>
          </w:p>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них</w:t>
            </w:r>
          </w:p>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кошторисом</w:t>
            </w:r>
          </w:p>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на утримання</w:t>
            </w:r>
          </w:p>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Фонду</w:t>
            </w:r>
          </w:p>
          <w:p>
            <w:pPr>
              <w:pStyle w:val="Normal"/>
              <w:widowControl w:val="false"/>
              <w:spacing w:lineRule="auto" w:line="240" w:before="0" w:after="0"/>
              <w:jc w:val="both"/>
              <w:rPr>
                <w:rFonts w:ascii="Times New Roman" w:hAnsi="Times New Roman"/>
                <w:sz w:val="24"/>
                <w:szCs w:val="24"/>
                <w:highlight w:val="none"/>
                <w:shd w:fill="auto" w:val="clear"/>
                <w:lang w:val="uk-UA"/>
              </w:rPr>
            </w:pPr>
            <w:r>
              <w:rPr>
                <w:rFonts w:ascii="Times New Roman" w:hAnsi="Times New Roman"/>
                <w:sz w:val="24"/>
                <w:szCs w:val="24"/>
                <w:shd w:fill="auto" w:val="clear"/>
                <w:lang w:val="uk-UA"/>
              </w:rPr>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Впроваджено автоматизований облік після внесення зміни до  Положення про організацію правової роботи в Пенсійному фонді України, затвердженого постановою правління Фонду від 08 жовтня 2004 року № 13-1 (із змінами)</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rHeight w:val="557"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9.2 Запровадження моніторингу стану  оскарження рішень суду органами </w:t>
            </w:r>
            <w:r>
              <w:rPr/>
              <w:t xml:space="preserve"> </w:t>
            </w:r>
            <w:r>
              <w:rPr>
                <w:rFonts w:ascii="Times New Roman" w:hAnsi="Times New Roman"/>
                <w:sz w:val="24"/>
                <w:szCs w:val="24"/>
                <w:lang w:val="uk-UA"/>
              </w:rPr>
              <w:t>Головного управління  за наявності підстав для такого оскарження з використанням автоматизованих засобів обробки інформації у підсистемі “Правова робота” ІКІС Фонду (за відсутні ознаки типової справи відносно зразкової справи, розглянутої Верховним Судом; за відсутності правової позиції Верховного Суду щодо правозастосування; при умові, що видатки на сплату судового збору не перевищують видатків, пов’язаних з виконанням судового рішення)</w:t>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 Приймак Е. Д.,</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30.06.2022</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31.12.2022</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30.06.2023</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31.12.2023</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Впроваджено моніторинг, про його результати інформується керівництво Головного управління</w:t>
            </w:r>
          </w:p>
        </w:tc>
      </w:tr>
      <w:tr>
        <w:trPr>
          <w:trHeight w:val="3172"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9.3 Організація та проведення внутрішнього навчального  заходу щодо здійснення  моніторингу стану  оскарження рішень суду органами Фонду з використанням автоматизованих засобів обробки інформації у підсистемі “Правова робота” ІКІС Фонду</w:t>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hd w:val="clear" w:color="auto" w:fill="FFFFFF" w:themeFill="background1"/>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hd w:val="clear" w:color="auto" w:fill="FFFFFF" w:themeFill="background1"/>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p>
            <w:pPr>
              <w:pStyle w:val="Normal"/>
              <w:widowControl w:val="false"/>
              <w:shd w:val="clear" w:color="auto" w:fill="FFFFFF" w:themeFill="background1"/>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згідно окремого графіку</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Проведено внутрішній навчальний захід</w:t>
            </w:r>
          </w:p>
        </w:tc>
      </w:tr>
      <w:tr>
        <w:trPr>
          <w:trHeight w:val="1415"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9.4  Перегляд результатів</w:t>
            </w:r>
            <w:r>
              <w:rPr/>
              <w:t xml:space="preserve"> </w:t>
            </w:r>
            <w:r>
              <w:rPr>
                <w:rFonts w:ascii="Times New Roman" w:hAnsi="Times New Roman"/>
                <w:sz w:val="24"/>
                <w:szCs w:val="24"/>
                <w:lang w:val="uk-UA"/>
              </w:rPr>
              <w:t>періодичного аналізу  автоматизованого моніторингу,  у разі виявлення порушень – вжиття заходів реагування згідно з чинним законодавством</w:t>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lang w:val="uk-UA"/>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30.06.2022</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31.12.2022</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30.06.2023</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31.12.2023</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Переглянуто результати моніторингу,  про його результати інформується керівництво </w:t>
            </w:r>
            <w:r>
              <w:rPr>
                <w:lang w:val="uk-UA"/>
              </w:rPr>
              <w:t xml:space="preserve"> </w:t>
            </w:r>
            <w:r>
              <w:rPr>
                <w:rFonts w:ascii="Times New Roman" w:hAnsi="Times New Roman"/>
                <w:sz w:val="24"/>
                <w:szCs w:val="24"/>
                <w:lang w:val="uk-UA"/>
              </w:rPr>
              <w:t>Головного управління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rHeight w:val="1415" w:hRule="atLeast"/>
        </w:trPr>
        <w:tc>
          <w:tcPr>
            <w:tcW w:w="5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9.5 Впровадження проведення Відділом з питань запобігання та виявлення корупції періодичного моніторингу протоколів засідань колегіальних органів, утворених з метою розгляду питань оскарження судових рішень щодо виявлення особистої заінтересованості їх членів у результатах голосування з питань порядку денного, та інформування начальника Головного управління щодо результатів здійснення моніторингу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31.12.2022</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31.12.2023</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Впроваджено моніторинг, проінформовано про результати моніторингу начальника Головного управління та керівника юридичної служби із наданням пропозицій щодо прийняття управлінських рішень (за необхідністю)</w:t>
            </w:r>
          </w:p>
        </w:tc>
      </w:tr>
      <w:tr>
        <w:trPr>
          <w:trHeight w:val="1415" w:hRule="atLeast"/>
        </w:trPr>
        <w:tc>
          <w:tcPr>
            <w:tcW w:w="52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9.6 Впровадження подання процесуальних документів до суду в електронній формі з метою зменшення видатків на сплату судового збору</w:t>
            </w:r>
          </w:p>
        </w:tc>
        <w:tc>
          <w:tcPr>
            <w:tcW w:w="184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tc>
        <w:tc>
          <w:tcPr>
            <w:tcW w:w="1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color w:val="191919"/>
                <w:sz w:val="20"/>
                <w:szCs w:val="20"/>
                <w:shd w:fill="FFFFFF" w:val="clear"/>
                <w:lang w:val="uk-UA"/>
              </w:rPr>
            </w:pPr>
            <w:r>
              <w:rPr>
                <w:rFonts w:ascii="Times New Roman" w:hAnsi="Times New Roman"/>
                <w:color w:val="191919"/>
                <w:sz w:val="20"/>
                <w:szCs w:val="20"/>
                <w:shd w:fill="FFFFFF" w:val="clear"/>
                <w:lang w:val="uk-UA"/>
              </w:rPr>
              <w:t xml:space="preserve">Після введення в дію підпункту «б» підпункту </w:t>
            </w:r>
            <w:r>
              <w:rPr>
                <w:rFonts w:ascii="Times New Roman" w:hAnsi="Times New Roman"/>
                <w:color w:val="191919"/>
                <w:sz w:val="20"/>
                <w:szCs w:val="20"/>
                <w:shd w:fill="FFFFFF" w:val="clear"/>
                <w:lang w:val="en-US"/>
              </w:rPr>
              <w:t>I</w:t>
            </w:r>
            <w:r>
              <w:rPr>
                <w:rFonts w:ascii="Times New Roman" w:hAnsi="Times New Roman"/>
                <w:color w:val="191919"/>
                <w:sz w:val="20"/>
                <w:szCs w:val="20"/>
                <w:shd w:fill="FFFFFF" w:val="clear"/>
                <w:lang w:val="uk-UA"/>
              </w:rPr>
              <w:t xml:space="preserve"> пункту 17 параграфа </w:t>
            </w:r>
            <w:r>
              <w:rPr>
                <w:rFonts w:ascii="Times New Roman" w:hAnsi="Times New Roman"/>
                <w:color w:val="191919"/>
                <w:sz w:val="20"/>
                <w:szCs w:val="20"/>
                <w:shd w:fill="FFFFFF" w:val="clear"/>
                <w:lang w:val="en-US"/>
              </w:rPr>
              <w:t>I</w:t>
            </w:r>
            <w:r>
              <w:rPr>
                <w:rFonts w:ascii="Times New Roman" w:hAnsi="Times New Roman"/>
                <w:color w:val="191919"/>
                <w:sz w:val="20"/>
                <w:szCs w:val="20"/>
                <w:shd w:fill="FFFFFF" w:val="clear"/>
                <w:lang w:val="uk-UA"/>
              </w:rPr>
              <w:t xml:space="preserve"> розділу 4 розділу </w:t>
            </w:r>
            <w:r>
              <w:rPr>
                <w:rFonts w:ascii="Times New Roman" w:hAnsi="Times New Roman"/>
                <w:color w:val="191919"/>
                <w:sz w:val="20"/>
                <w:szCs w:val="20"/>
                <w:shd w:fill="FFFFFF" w:val="clear"/>
                <w:lang w:val="en-US"/>
              </w:rPr>
              <w:t>VII</w:t>
            </w:r>
            <w:r>
              <w:rPr>
                <w:rFonts w:ascii="Times New Roman" w:hAnsi="Times New Roman"/>
                <w:color w:val="191919"/>
                <w:sz w:val="20"/>
                <w:szCs w:val="20"/>
                <w:shd w:fill="FFFFFF" w:val="clear"/>
                <w:lang w:val="uk-UA"/>
              </w:rPr>
              <w:t xml:space="preserve"> «Перехідні положення» Закону України «Про внесення змін до Господарського процесуального кодексу України, Цивільного процесуального кодексу України, кодексу адміністративного судочинства України та інших законодавчих актів», а також реалізації  технічної можливості сплати через Єдину судову інформаційно-телекомунікаційну систему</w:t>
            </w:r>
          </w:p>
        </w:tc>
        <w:tc>
          <w:tcPr>
            <w:tcW w:w="1571"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Зменшено видатки на сплату судового збору</w:t>
            </w:r>
          </w:p>
        </w:tc>
      </w:tr>
      <w:tr>
        <w:trPr/>
        <w:tc>
          <w:tcPr>
            <w:tcW w:w="1096"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b/>
                <w:b/>
                <w:bCs/>
                <w:sz w:val="24"/>
                <w:szCs w:val="24"/>
                <w:lang w:val="uk-UA"/>
              </w:rPr>
            </w:pPr>
            <w:r>
              <w:rPr>
                <w:rFonts w:ascii="Times New Roman" w:hAnsi="Times New Roman"/>
                <w:b/>
                <w:bCs/>
                <w:sz w:val="24"/>
                <w:szCs w:val="24"/>
                <w:lang w:val="uk-UA"/>
              </w:rPr>
            </w:r>
          </w:p>
        </w:tc>
        <w:tc>
          <w:tcPr>
            <w:tcW w:w="15002" w:type="dxa"/>
            <w:gridSpan w:val="9"/>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b/>
                <w:bCs/>
                <w:sz w:val="24"/>
                <w:szCs w:val="24"/>
                <w:lang w:val="uk-UA"/>
              </w:rPr>
              <w:t>Фінансово-економічне забезпечення</w:t>
            </w:r>
          </w:p>
        </w:tc>
        <w:tc>
          <w:tcPr>
            <w:tcW w:w="28" w:type="dxa"/>
            <w:tcBorders/>
          </w:tcPr>
          <w:p>
            <w:pPr>
              <w:pStyle w:val="Normal"/>
              <w:widowControl w:val="false"/>
              <w:spacing w:before="0" w:after="200"/>
              <w:rPr/>
            </w:pPr>
            <w:r>
              <w:rPr/>
            </w:r>
          </w:p>
        </w:tc>
      </w:tr>
      <w:tr>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9</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Calibri" w:eastAsiaTheme="minorHAnsi"/>
                <w:sz w:val="24"/>
                <w:szCs w:val="24"/>
                <w:lang w:val="uk-UA"/>
              </w:rPr>
            </w:pPr>
            <w:r>
              <w:rPr>
                <w:rFonts w:eastAsia="Calibri" w:ascii="Times New Roman" w:hAnsi="Times New Roman" w:eastAsiaTheme="minorHAnsi"/>
                <w:sz w:val="24"/>
                <w:szCs w:val="24"/>
                <w:lang w:val="uk-UA"/>
              </w:rPr>
              <w:t>10</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Calibri" w:eastAsiaTheme="minorHAnsi"/>
                <w:sz w:val="24"/>
                <w:szCs w:val="24"/>
                <w:lang w:val="uk-UA"/>
              </w:rPr>
            </w:pPr>
            <w:r>
              <w:rPr>
                <w:rFonts w:eastAsia="Calibri" w:ascii="Times New Roman" w:hAnsi="Times New Roman" w:eastAsiaTheme="minorHAnsi"/>
                <w:sz w:val="24"/>
                <w:szCs w:val="24"/>
                <w:lang w:val="uk-UA"/>
              </w:rPr>
              <w:t>Можливість зловживання службовим становищем посадовими особами Головного управління під час взяття зобов’язань  щодо здійснення видатків поза межами обсягу призначень, затверджених кошторисом Головного управління</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Calibri" w:ascii="Times New Roman" w:hAnsi="Times New Roman" w:eastAsiaTheme="minorHAnsi"/>
                <w:sz w:val="24"/>
                <w:szCs w:val="24"/>
                <w:lang w:val="uk-UA"/>
              </w:rPr>
              <w:t>10.1 Впровадження ризик орієнтованих критеріїв для здійснення автоматизованого моніторингу видатків бюджету Фонду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Нікітіна Т.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Приймак Е. Д.,</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59" w:before="0" w:after="160"/>
              <w:jc w:val="both"/>
              <w:rPr>
                <w:rFonts w:ascii="Times New Roman" w:hAnsi="Times New Roman"/>
                <w:sz w:val="24"/>
                <w:szCs w:val="24"/>
                <w:lang w:val="uk-UA"/>
              </w:rPr>
            </w:pPr>
            <w:r>
              <w:rPr>
                <w:rFonts w:ascii="Times New Roman" w:hAnsi="Times New Roman"/>
                <w:sz w:val="24"/>
                <w:szCs w:val="24"/>
                <w:lang w:val="uk-UA"/>
              </w:rPr>
              <w:t>31.10.2022</w:t>
            </w:r>
          </w:p>
          <w:p>
            <w:pPr>
              <w:pStyle w:val="Normal"/>
              <w:widowControl w:val="false"/>
              <w:spacing w:lineRule="auto" w:line="259" w:before="0" w:after="160"/>
              <w:jc w:val="both"/>
              <w:rPr>
                <w:rFonts w:ascii="Times New Roman" w:hAnsi="Times New Roman"/>
                <w:sz w:val="24"/>
                <w:szCs w:val="24"/>
                <w:lang w:val="uk-UA"/>
              </w:rPr>
            </w:pPr>
            <w:r>
              <w:rPr>
                <w:rFonts w:ascii="Times New Roman" w:hAnsi="Times New Roman"/>
                <w:sz w:val="24"/>
                <w:szCs w:val="24"/>
                <w:lang w:val="uk-UA"/>
              </w:rPr>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в межах коштів, передбаче</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них</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кошторисом</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Головного управління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Застосовано розроблений перелік ризик орієнтованих критеріїв для здійснення автоматизованого моніторингу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Calibri" w:eastAsiaTheme="minorHAnsi"/>
                <w:sz w:val="24"/>
                <w:szCs w:val="24"/>
                <w:lang w:val="uk-UA"/>
              </w:rPr>
            </w:pPr>
            <w:r>
              <w:rPr>
                <w:rFonts w:ascii="Times New Roman" w:hAnsi="Times New Roman"/>
                <w:sz w:val="24"/>
                <w:szCs w:val="24"/>
                <w:lang w:val="uk-UA"/>
              </w:rPr>
              <w:t xml:space="preserve">10.2 Впровадження та використання  автоматизованого </w:t>
            </w:r>
            <w:r>
              <w:rPr>
                <w:rFonts w:eastAsia="Calibri" w:ascii="Times New Roman" w:hAnsi="Times New Roman" w:eastAsiaTheme="minorHAnsi"/>
                <w:sz w:val="24"/>
                <w:szCs w:val="24"/>
                <w:lang w:val="uk-UA"/>
              </w:rPr>
              <w:t>моніторингу видатків</w:t>
            </w:r>
          </w:p>
          <w:p>
            <w:pPr>
              <w:pStyle w:val="Normal"/>
              <w:widowControl w:val="false"/>
              <w:spacing w:lineRule="auto" w:line="240" w:before="0" w:after="0"/>
              <w:jc w:val="both"/>
              <w:rPr>
                <w:rFonts w:ascii="Times New Roman" w:hAnsi="Times New Roman" w:eastAsia="Calibri" w:eastAsiaTheme="minorHAnsi"/>
                <w:sz w:val="24"/>
                <w:szCs w:val="24"/>
                <w:lang w:val="uk-UA"/>
              </w:rPr>
            </w:pPr>
            <w:r>
              <w:rPr>
                <w:rFonts w:eastAsia="Calibri" w:ascii="Times New Roman" w:hAnsi="Times New Roman" w:eastAsiaTheme="minorHAnsi"/>
                <w:sz w:val="24"/>
                <w:szCs w:val="24"/>
                <w:lang w:val="uk-UA"/>
              </w:rPr>
              <w:t xml:space="preserve"> </w:t>
            </w:r>
            <w:r>
              <w:rPr>
                <w:rFonts w:eastAsia="Calibri" w:ascii="Times New Roman" w:hAnsi="Times New Roman" w:eastAsiaTheme="minorHAnsi"/>
                <w:sz w:val="24"/>
                <w:szCs w:val="24"/>
                <w:lang w:val="uk-UA"/>
              </w:rPr>
              <w:t>бюджету Фонду на виплату пенсій</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Нікітіна Т.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Приймак Е. Д.,</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Пастушок О. 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59" w:before="0" w:after="160"/>
              <w:jc w:val="both"/>
              <w:rPr>
                <w:rFonts w:ascii="Times New Roman" w:hAnsi="Times New Roman"/>
                <w:sz w:val="24"/>
                <w:szCs w:val="24"/>
                <w:lang w:val="uk-UA"/>
              </w:rPr>
            </w:pPr>
            <w:r>
              <w:rPr>
                <w:rFonts w:ascii="Times New Roman" w:hAnsi="Times New Roman"/>
                <w:sz w:val="24"/>
                <w:szCs w:val="24"/>
                <w:lang w:val="uk-UA"/>
              </w:rPr>
              <w:t>31.12.2022</w:t>
            </w:r>
          </w:p>
          <w:p>
            <w:pPr>
              <w:pStyle w:val="Normal"/>
              <w:widowControl w:val="false"/>
              <w:spacing w:lineRule="auto" w:line="259" w:before="0" w:after="160"/>
              <w:jc w:val="both"/>
              <w:rPr>
                <w:rFonts w:ascii="Times New Roman" w:hAnsi="Times New Roman"/>
                <w:sz w:val="24"/>
                <w:szCs w:val="24"/>
                <w:lang w:val="uk-UA"/>
              </w:rPr>
            </w:pPr>
            <w:r>
              <w:rPr>
                <w:rFonts w:ascii="Times New Roman" w:hAnsi="Times New Roman"/>
                <w:sz w:val="24"/>
                <w:szCs w:val="24"/>
                <w:lang w:val="uk-UA"/>
              </w:rPr>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в межах коштів, передбаче</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них</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кошторисом</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Головного управління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Впроваджено моніторинг,  про його результати інформується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керівництво Головного управління для прийняття управлінських рішень (за необхідності)</w:t>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10</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rPr>
            </w:pPr>
            <w:r>
              <w:rPr>
                <w:rFonts w:eastAsia="Times New Roman" w:ascii="Times New Roman" w:hAnsi="Times New Roman"/>
                <w:sz w:val="24"/>
                <w:szCs w:val="24"/>
                <w:lang w:val="uk-UA"/>
              </w:rPr>
              <w:t>11</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Ймовірність необґрунтованого встановлення та виплати премій працівникам</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 xml:space="preserve">11.1 Надання письмових пропозицій із зазначенням обґрунтування щодо результатів діяльності працівників для встановлення та виплати премій </w:t>
            </w:r>
            <w:r>
              <w:rPr>
                <w:rFonts w:ascii="Times New Roman" w:hAnsi="Times New Roman"/>
                <w:sz w:val="24"/>
                <w:szCs w:val="24"/>
                <w:lang w:val="uk-UA"/>
              </w:rPr>
              <w:t>(підвищення/зменшення розміру)</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 Головного управління</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eastAsia="ru-RU"/>
              </w:rPr>
            </w:pPr>
            <w:r>
              <w:rPr>
                <w:rFonts w:ascii="Times New Roman" w:hAnsi="Times New Roman"/>
                <w:sz w:val="24"/>
                <w:szCs w:val="24"/>
                <w:lang w:val="uk-UA" w:eastAsia="ru-RU"/>
              </w:rPr>
              <w:t>постійно (перед прийняттям рішення щодо встановлення премій)</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додаткових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rPr>
            </w:pPr>
            <w:r>
              <w:rPr>
                <w:rFonts w:ascii="Times New Roman" w:hAnsi="Times New Roman"/>
                <w:sz w:val="24"/>
                <w:szCs w:val="24"/>
                <w:lang w:val="uk-UA"/>
              </w:rPr>
              <w:t xml:space="preserve">Надано відповідні письмові </w:t>
            </w:r>
            <w:r>
              <w:rPr>
                <w:rFonts w:eastAsia="Times New Roman" w:ascii="Times New Roman" w:hAnsi="Times New Roman"/>
                <w:sz w:val="24"/>
                <w:szCs w:val="24"/>
                <w:lang w:val="uk-UA"/>
              </w:rPr>
              <w:t>обґрунтування щодо результатів  діяльності працівників для встановлення та виплати премій</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11</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rPr>
            </w:pPr>
            <w:r>
              <w:rPr>
                <w:rFonts w:eastAsia="Times New Roman" w:ascii="Times New Roman" w:hAnsi="Times New Roman"/>
                <w:sz w:val="24"/>
                <w:szCs w:val="24"/>
                <w:lang w:val="uk-UA"/>
              </w:rPr>
              <w:t>12</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Ймовірність незастосування фінансових санкцій та/або застосування не у повному обсязі та невжиття заходів щодо стягнення заборгованості з платежів до Фонду</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color w:val="191919"/>
                <w:sz w:val="24"/>
                <w:szCs w:val="24"/>
                <w:shd w:fill="FFFFFF" w:val="clear"/>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12.1 Впровадження моніторингу стану погашення заборгованості, застосування фінансових санкцій та охоплення заборгованості заходами стягнення</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Назарова Я. Б.,</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31.12.2021</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rPr>
            </w:pPr>
            <w:r>
              <w:rPr>
                <w:rFonts w:eastAsia="Times New Roman" w:ascii="Times New Roman" w:hAnsi="Times New Roman"/>
                <w:sz w:val="24"/>
                <w:szCs w:val="24"/>
                <w:lang w:val="uk-UA"/>
              </w:rPr>
              <w:t>не потребує</w:t>
            </w:r>
          </w:p>
          <w:p>
            <w:pPr>
              <w:pStyle w:val="Normal"/>
              <w:widowControl w:val="false"/>
              <w:spacing w:lineRule="auto" w:line="240" w:before="0" w:after="0"/>
              <w:jc w:val="both"/>
              <w:rPr>
                <w:rFonts w:ascii="Times New Roman" w:hAnsi="Times New Roman" w:eastAsia="Times New Roman"/>
                <w:sz w:val="24"/>
                <w:szCs w:val="24"/>
                <w:lang w:val="uk-UA"/>
              </w:rPr>
            </w:pPr>
            <w:r>
              <w:rPr>
                <w:rFonts w:eastAsia="Times New Roman" w:ascii="Times New Roman" w:hAnsi="Times New Roman"/>
                <w:sz w:val="24"/>
                <w:szCs w:val="24"/>
                <w:lang w:val="uk-UA"/>
              </w:rPr>
              <w:t>додаткових</w:t>
            </w:r>
          </w:p>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Впроваджено моніторинг,  про його результати інформується керівництво Головного управління для прийняття управлінських рішень (за необхідності)</w:t>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12</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rPr>
            </w:pPr>
            <w:r>
              <w:rPr>
                <w:rFonts w:eastAsia="Times New Roman" w:ascii="Times New Roman" w:hAnsi="Times New Roman"/>
                <w:sz w:val="24"/>
                <w:szCs w:val="24"/>
                <w:lang w:val="uk-UA"/>
              </w:rPr>
              <w:t>13</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rPr>
              <w:t>Можливість задоволення приватного інтересу під час направлення розрахунків витрат по відшкодуванню пенсій на пільгових умовах</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highlight w:val="none"/>
                <w:shd w:fill="auto" w:val="clear"/>
              </w:rPr>
            </w:pPr>
            <w:r>
              <w:rPr>
                <w:rFonts w:ascii="Times New Roman" w:hAnsi="Times New Roman"/>
                <w:color w:val="191919"/>
                <w:sz w:val="24"/>
                <w:szCs w:val="24"/>
                <w:shd w:fill="auto" w:val="clear"/>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 xml:space="preserve">13.1 Перегляд та оновлення набору даних електронного обміну інформацією з </w:t>
            </w:r>
            <w:r>
              <w:rPr>
                <w:shd w:fill="auto" w:val="clear"/>
              </w:rPr>
              <w:t xml:space="preserve"> </w:t>
            </w:r>
            <w:r>
              <w:rPr>
                <w:rFonts w:ascii="Times New Roman" w:hAnsi="Times New Roman"/>
                <w:sz w:val="24"/>
                <w:szCs w:val="24"/>
                <w:shd w:fill="auto" w:val="clear"/>
                <w:lang w:val="uk-UA"/>
              </w:rPr>
              <w:t>Головним управлінням Державної податкової служби  у Луганській області в частині актуальності  системи оподаткування  платників єдиного податку 4 групи</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Баранов П. В.,</w:t>
            </w:r>
          </w:p>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Тарасова К. С.,</w:t>
            </w:r>
          </w:p>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highlight w:val="none"/>
                <w:shd w:fill="auto" w:val="clear"/>
                <w:lang w:val="uk-UA" w:eastAsia="ru-RU"/>
              </w:rPr>
            </w:pPr>
            <w:r>
              <w:rPr>
                <w:rFonts w:eastAsia="Times New Roman" w:ascii="Times New Roman" w:hAnsi="Times New Roman"/>
                <w:sz w:val="24"/>
                <w:szCs w:val="24"/>
                <w:shd w:fill="auto" w:val="clear"/>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31.12.202</w:t>
            </w:r>
            <w:r>
              <w:rPr>
                <w:rFonts w:ascii="Times New Roman" w:hAnsi="Times New Roman"/>
                <w:color w:val="191919"/>
                <w:sz w:val="24"/>
                <w:szCs w:val="24"/>
                <w:shd w:fill="auto" w:val="clear"/>
                <w:lang w:val="en-US"/>
              </w:rPr>
              <w:t>3</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в межах коштів, передбаче</w:t>
            </w:r>
          </w:p>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них</w:t>
            </w:r>
          </w:p>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кошторисом</w:t>
            </w:r>
          </w:p>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shd w:fill="auto" w:val="clear"/>
                <w:lang w:val="uk-UA"/>
              </w:rPr>
              <w:t>Головного управління</w:t>
            </w:r>
          </w:p>
          <w:p>
            <w:pPr>
              <w:pStyle w:val="Normal"/>
              <w:widowControl w:val="false"/>
              <w:spacing w:lineRule="auto" w:line="240" w:before="0" w:after="0"/>
              <w:jc w:val="both"/>
              <w:rPr>
                <w:rFonts w:ascii="Times New Roman" w:hAnsi="Times New Roman"/>
                <w:sz w:val="24"/>
                <w:szCs w:val="24"/>
                <w:highlight w:val="none"/>
                <w:shd w:fill="auto" w:val="clear"/>
                <w:lang w:val="uk-UA"/>
              </w:rPr>
            </w:pPr>
            <w:r>
              <w:rPr>
                <w:rFonts w:ascii="Times New Roman" w:hAnsi="Times New Roman"/>
                <w:sz w:val="24"/>
                <w:szCs w:val="24"/>
                <w:shd w:fill="auto" w:val="clear"/>
                <w:lang w:val="uk-UA"/>
              </w:rPr>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 xml:space="preserve">Оновлено набір даних електронного обміну інформацією з Головним управлінням </w:t>
            </w:r>
            <w:r>
              <w:rPr>
                <w:shd w:fill="auto" w:val="clear"/>
              </w:rPr>
              <w:t xml:space="preserve"> </w:t>
            </w:r>
            <w:r>
              <w:rPr>
                <w:rFonts w:ascii="Times New Roman" w:hAnsi="Times New Roman"/>
                <w:sz w:val="24"/>
                <w:szCs w:val="24"/>
                <w:shd w:fill="auto" w:val="clear"/>
                <w:lang w:val="uk-UA"/>
              </w:rPr>
              <w:t>Державної податкової служби   у Луганській області в частині актуальності  системи оподаткування  платників єдиного податку 4 групи</w:t>
            </w:r>
          </w:p>
        </w:tc>
      </w:tr>
      <w:tr>
        <w:trPr/>
        <w:tc>
          <w:tcPr>
            <w:tcW w:w="1096"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b/>
                <w:b/>
                <w:bCs/>
                <w:sz w:val="24"/>
                <w:szCs w:val="24"/>
                <w:lang w:val="uk-UA"/>
              </w:rPr>
            </w:pPr>
            <w:r>
              <w:rPr>
                <w:rFonts w:ascii="Times New Roman" w:hAnsi="Times New Roman"/>
                <w:b/>
                <w:bCs/>
                <w:sz w:val="24"/>
                <w:szCs w:val="24"/>
                <w:lang w:val="uk-UA"/>
              </w:rPr>
            </w:r>
          </w:p>
        </w:tc>
        <w:tc>
          <w:tcPr>
            <w:tcW w:w="15002" w:type="dxa"/>
            <w:gridSpan w:val="9"/>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highlight w:val="none"/>
                <w:shd w:fill="auto" w:val="clear"/>
              </w:rPr>
            </w:pPr>
            <w:r>
              <w:rPr>
                <w:rFonts w:ascii="Times New Roman" w:hAnsi="Times New Roman"/>
                <w:b/>
                <w:bCs/>
                <w:sz w:val="24"/>
                <w:szCs w:val="24"/>
                <w:shd w:fill="auto" w:val="clear"/>
                <w:lang w:val="uk-UA"/>
              </w:rPr>
              <w:t>Цифровий розвиток, цифрова трансформація і цифровізація</w:t>
            </w:r>
          </w:p>
        </w:tc>
        <w:tc>
          <w:tcPr>
            <w:tcW w:w="28" w:type="dxa"/>
            <w:tcBorders/>
          </w:tcPr>
          <w:p>
            <w:pPr>
              <w:pStyle w:val="Normal"/>
              <w:widowControl w:val="false"/>
              <w:spacing w:before="0" w:after="200"/>
              <w:rPr>
                <w:highlight w:val="none"/>
                <w:shd w:fill="auto" w:val="clear"/>
              </w:rPr>
            </w:pPr>
            <w:r>
              <w:rPr>
                <w:shd w:fill="auto" w:val="clear"/>
              </w:rPr>
            </w:r>
          </w:p>
        </w:tc>
      </w:tr>
      <w:tr>
        <w:trPr>
          <w:trHeight w:val="2400" w:hRule="atLeast"/>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13</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14</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Ймовірність вимагати неправомірну вигоду у зв’язку з прийняттям необґрунтованих рішень про відмову у наданні послуг через відсутність підтвердних документів у паперовій формі</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highlight w:val="none"/>
                <w:shd w:fill="auto" w:val="clear"/>
              </w:rPr>
            </w:pPr>
            <w:r>
              <w:rPr>
                <w:rFonts w:ascii="Times New Roman" w:hAnsi="Times New Roman"/>
                <w:sz w:val="24"/>
                <w:szCs w:val="24"/>
                <w:shd w:fill="auto" w:val="clear"/>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spacing w:val="-2"/>
                <w:sz w:val="24"/>
                <w:szCs w:val="24"/>
                <w:shd w:fill="auto" w:val="clear"/>
                <w:lang w:val="uk-UA"/>
              </w:rPr>
              <w:t>14.4 Оперативне висвітлення у медіапросторі питань пенсійного забезпечення та соціального страхування, надання житлових субсидій та пільг, здійснення страхових виплат та надання соціальних послуг, напрямів та результатів діяльності Головного управління</w:t>
            </w:r>
          </w:p>
          <w:p>
            <w:pPr>
              <w:pStyle w:val="Normal"/>
              <w:widowControl w:val="false"/>
              <w:spacing w:lineRule="auto" w:line="240" w:before="0" w:after="0"/>
              <w:jc w:val="both"/>
              <w:rPr>
                <w:rFonts w:ascii="Times New Roman" w:hAnsi="Times New Roman"/>
                <w:spacing w:val="-2"/>
                <w:sz w:val="24"/>
                <w:szCs w:val="24"/>
                <w:highlight w:val="none"/>
                <w:shd w:fill="auto" w:val="clear"/>
                <w:lang w:val="uk-UA"/>
              </w:rPr>
            </w:pPr>
            <w:r>
              <w:rPr>
                <w:rFonts w:ascii="Times New Roman" w:hAnsi="Times New Roman"/>
                <w:spacing w:val="-2"/>
                <w:sz w:val="24"/>
                <w:szCs w:val="24"/>
                <w:shd w:fill="auto" w:val="clear"/>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rPr>
                <w:highlight w:val="none"/>
                <w:shd w:fill="auto" w:val="clear"/>
              </w:rPr>
            </w:pPr>
            <w:r>
              <w:rPr>
                <w:rFonts w:eastAsia="Times New Roman" w:ascii="Times New Roman" w:hAnsi="Times New Roman"/>
                <w:sz w:val="24"/>
                <w:szCs w:val="24"/>
                <w:shd w:fill="auto" w:val="clear"/>
                <w:lang w:val="uk-UA" w:eastAsia="ru-RU"/>
              </w:rPr>
              <w:t>Приймак Е. Д., Водолазскін     Р. В.,</w:t>
            </w:r>
          </w:p>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керівники ВОГ</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31.12.2023</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в межах коштів, передбаче</w:t>
            </w:r>
          </w:p>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них</w:t>
            </w:r>
          </w:p>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кошторисом</w:t>
            </w:r>
          </w:p>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на утримання</w:t>
            </w:r>
          </w:p>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Головного управління</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Забезпечено інформування громадян з актуальних питань пенсійного забезпечення, надання житлових субсидій та пільг, здійснення страхових виплат та надання соціальних послуг</w:t>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14</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pacing w:val="-2"/>
                <w:sz w:val="24"/>
                <w:szCs w:val="24"/>
                <w:lang w:val="uk-UA"/>
              </w:rPr>
            </w:pPr>
            <w:r>
              <w:rPr>
                <w:rFonts w:ascii="Times New Roman" w:hAnsi="Times New Roman"/>
                <w:spacing w:val="-2"/>
                <w:sz w:val="24"/>
                <w:szCs w:val="24"/>
                <w:lang w:val="uk-UA"/>
              </w:rPr>
              <w:t>15</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pacing w:val="-2"/>
                <w:sz w:val="24"/>
                <w:szCs w:val="24"/>
                <w:lang w:val="uk-UA"/>
              </w:rPr>
            </w:pPr>
            <w:r>
              <w:rPr>
                <w:rFonts w:ascii="Times New Roman" w:hAnsi="Times New Roman"/>
                <w:spacing w:val="-2"/>
                <w:sz w:val="24"/>
                <w:szCs w:val="24"/>
                <w:lang w:val="uk-UA"/>
              </w:rPr>
              <w:t>Можливість отримання неправомірної вигоди за прийняття неякісних або у неповному обсязі робіт/послуг за договорами про закупівлю</w:t>
            </w:r>
          </w:p>
          <w:p>
            <w:pPr>
              <w:pStyle w:val="Normal"/>
              <w:widowControl w:val="false"/>
              <w:spacing w:lineRule="auto" w:line="240" w:before="0" w:after="0"/>
              <w:jc w:val="both"/>
              <w:rPr>
                <w:rFonts w:ascii="Times New Roman" w:hAnsi="Times New Roman"/>
                <w:spacing w:val="-2"/>
                <w:sz w:val="24"/>
                <w:szCs w:val="24"/>
                <w:lang w:val="uk-UA"/>
              </w:rPr>
            </w:pPr>
            <w:r>
              <w:rPr>
                <w:rFonts w:ascii="Times New Roman" w:hAnsi="Times New Roman"/>
                <w:spacing w:val="-2"/>
                <w:sz w:val="24"/>
                <w:szCs w:val="24"/>
                <w:lang w:val="uk-UA"/>
              </w:rPr>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pacing w:val="-2"/>
                <w:sz w:val="24"/>
                <w:szCs w:val="24"/>
                <w:lang w:val="uk-UA"/>
              </w:rPr>
              <w:t>15.1 Впровадження системи критеріїв, за якими оцінюється розроблене програмне забезпечення, а також плану заходів щодо тестування розробленого програмного забезпечення</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Приймак Е. Д.,</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31.12.2022</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 межах коштів, передбаче</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кошторисом</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Головного управління</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Впроваджено систему критеріїв. Здійснено своєчасну оцінку відповідності нових компонентів чи версій програмного забезпечення технічним вимогам</w:t>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15</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16</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отримання/вимагання неправомірної вигоди за неналежне здійснення моніторингу відомостей про осіб, які підлягають загальнообов’язковому державному соціальному страхуванню</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pacing w:val="-2"/>
                <w:sz w:val="24"/>
                <w:szCs w:val="24"/>
                <w:lang w:val="uk-UA"/>
              </w:rPr>
              <w:t xml:space="preserve">16.1 Перегляд та розширення набору даних обміну інформацією з Головним управлінням Державної праці у Луганській області та </w:t>
            </w:r>
            <w:r>
              <w:rPr>
                <w:lang w:val="uk-UA"/>
              </w:rPr>
              <w:t xml:space="preserve"> </w:t>
            </w:r>
            <w:r>
              <w:rPr>
                <w:rFonts w:ascii="Times New Roman" w:hAnsi="Times New Roman"/>
                <w:spacing w:val="-2"/>
                <w:sz w:val="24"/>
                <w:szCs w:val="24"/>
                <w:lang w:val="uk-UA"/>
              </w:rPr>
              <w:t>Головним управлінням Державної податкової служби  у Луганській області</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30.06.2023</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 межах коштів, передбаче</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кошторисом</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Головного управління</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Розширено набір електронного обміну інформацією </w:t>
            </w:r>
            <w:r>
              <w:rPr>
                <w:rFonts w:ascii="Times New Roman" w:hAnsi="Times New Roman"/>
                <w:spacing w:val="-2"/>
                <w:sz w:val="24"/>
                <w:szCs w:val="24"/>
                <w:lang w:val="uk-UA"/>
              </w:rPr>
              <w:t xml:space="preserve">з </w:t>
            </w:r>
            <w:r>
              <w:rPr/>
              <w:t xml:space="preserve"> </w:t>
            </w:r>
            <w:r>
              <w:rPr>
                <w:rFonts w:ascii="Times New Roman" w:hAnsi="Times New Roman"/>
                <w:spacing w:val="-2"/>
                <w:sz w:val="24"/>
                <w:szCs w:val="24"/>
                <w:lang w:val="uk-UA"/>
              </w:rPr>
              <w:t xml:space="preserve">Головним управлінням Державної праці у Луганській області та </w:t>
            </w:r>
            <w:r>
              <w:rPr/>
              <w:t xml:space="preserve"> </w:t>
            </w:r>
            <w:r>
              <w:rPr>
                <w:rFonts w:ascii="Times New Roman" w:hAnsi="Times New Roman"/>
                <w:spacing w:val="-2"/>
                <w:sz w:val="24"/>
                <w:szCs w:val="24"/>
                <w:lang w:val="uk-UA"/>
              </w:rPr>
              <w:t xml:space="preserve">Головним управлінням </w:t>
            </w:r>
            <w:r>
              <w:rPr/>
              <w:t xml:space="preserve"> </w:t>
            </w:r>
            <w:r>
              <w:rPr>
                <w:rFonts w:ascii="Times New Roman" w:hAnsi="Times New Roman"/>
                <w:spacing w:val="-2"/>
                <w:sz w:val="24"/>
                <w:szCs w:val="24"/>
                <w:lang w:val="uk-UA"/>
              </w:rPr>
              <w:t>Державної податкової служби    у Луганській області.</w:t>
            </w:r>
            <w:r>
              <w:rPr>
                <w:rFonts w:ascii="Times New Roman" w:hAnsi="Times New Roman"/>
                <w:sz w:val="24"/>
                <w:szCs w:val="24"/>
                <w:lang w:val="uk-UA"/>
              </w:rPr>
              <w:t xml:space="preserve"> Забезпечено своєчасне здійснення заходів щодо обміну із зацікавленими державними органами відомостями, що містять ознаки використання праці неоформлених працівників і порушень законодавства про працю</w:t>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16</w:t>
            </w:r>
          </w:p>
        </w:tc>
        <w:tc>
          <w:tcPr>
            <w:tcW w:w="56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jc w:val="both"/>
              <w:rPr>
                <w:rFonts w:ascii="Times New Roman" w:hAnsi="Times New Roman"/>
                <w:sz w:val="24"/>
                <w:szCs w:val="24"/>
                <w:highlight w:val="yellow"/>
                <w:lang w:val="uk-UA"/>
              </w:rPr>
            </w:pPr>
            <w:r>
              <w:rPr>
                <w:rFonts w:ascii="Times New Roman" w:hAnsi="Times New Roman"/>
                <w:sz w:val="24"/>
                <w:szCs w:val="24"/>
                <w:lang w:val="uk-UA"/>
              </w:rPr>
              <w:t>17</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задоволення приватного інтересу посадовими особами при прийняті рішень щодо внесення/зміни відомостей до</w:t>
            </w:r>
            <w:r>
              <w:rPr>
                <w:rFonts w:ascii="Times New Roman" w:hAnsi="Times New Roman"/>
                <w:sz w:val="24"/>
                <w:szCs w:val="24"/>
                <w:shd w:fill="FFFFFF" w:val="clear"/>
                <w:lang w:val="uk-UA"/>
              </w:rPr>
              <w:t xml:space="preserve"> реєстру застрахованих осіб Державного реєстру загальнообов’язкового державного соціального страхування</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pacing w:val="-2"/>
                <w:sz w:val="24"/>
                <w:szCs w:val="24"/>
                <w:lang w:val="uk-UA"/>
              </w:rPr>
              <w:t xml:space="preserve">17.1 Удосконалення механізму автоматизованого контролю даних </w:t>
            </w:r>
            <w:r>
              <w:rPr>
                <w:rFonts w:ascii="Times New Roman" w:hAnsi="Times New Roman"/>
                <w:sz w:val="24"/>
                <w:szCs w:val="24"/>
                <w:shd w:fill="FFFFFF" w:val="clear"/>
                <w:lang w:val="uk-UA"/>
              </w:rPr>
              <w:t>реєстру застрахованих осіб Державного реєстру загальнообов’язкового державного соціального страхування з використанням даних із зовнішніх джерел в частині фіксації та аналізу всіх дій користувачів реєстру</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Приймак Е. Д., 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Назаренко</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Є.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Рак І.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30.06.2023</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 межах коштів, передбаче</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кошторисом</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Фонду</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shd w:fill="FFFFFF" w:val="clear"/>
                <w:lang w:val="uk-UA"/>
              </w:rPr>
            </w:pPr>
            <w:r>
              <w:rPr>
                <w:rFonts w:ascii="Times New Roman" w:hAnsi="Times New Roman"/>
                <w:sz w:val="24"/>
                <w:szCs w:val="24"/>
                <w:shd w:fill="FFFFFF" w:val="clear"/>
                <w:lang w:val="uk-UA"/>
              </w:rPr>
              <w:t>Забезпечено використання даних із зовнішніх джерел</w:t>
            </w:r>
            <w:r>
              <w:rPr>
                <w:rFonts w:ascii="Times New Roman" w:hAnsi="Times New Roman"/>
                <w:spacing w:val="-2"/>
                <w:sz w:val="24"/>
                <w:szCs w:val="24"/>
                <w:lang w:val="uk-UA"/>
              </w:rPr>
              <w:t xml:space="preserve"> під  час автоматизованого контролю даних </w:t>
            </w:r>
            <w:r>
              <w:rPr>
                <w:rFonts w:ascii="Times New Roman" w:hAnsi="Times New Roman"/>
                <w:sz w:val="24"/>
                <w:szCs w:val="24"/>
                <w:shd w:fill="FFFFFF" w:val="clear"/>
                <w:lang w:val="uk-UA"/>
              </w:rPr>
              <w:t>реєстру застрахованих осіб Державного реєстру загальнообов’язкового державного соціального страхування</w:t>
            </w:r>
          </w:p>
        </w:tc>
      </w:tr>
      <w:tr>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17</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shd w:fill="FFFFFF" w:val="clear"/>
                <w:lang w:val="uk-UA"/>
              </w:rPr>
            </w:pPr>
            <w:r>
              <w:rPr>
                <w:rFonts w:ascii="Times New Roman" w:hAnsi="Times New Roman"/>
                <w:sz w:val="24"/>
                <w:szCs w:val="24"/>
                <w:shd w:fill="FFFFFF" w:val="clear"/>
                <w:lang w:val="uk-UA"/>
              </w:rPr>
              <w:t>18</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shd w:fill="FFFFFF" w:val="clear"/>
                <w:lang w:val="uk-UA"/>
              </w:rPr>
              <w:t xml:space="preserve">Можливість </w:t>
            </w:r>
            <w:r>
              <w:rPr>
                <w:rFonts w:ascii="Times New Roman" w:hAnsi="Times New Roman"/>
                <w:sz w:val="24"/>
                <w:szCs w:val="24"/>
                <w:lang w:val="uk-UA"/>
              </w:rPr>
              <w:t xml:space="preserve">задоволення приватного інтересу при </w:t>
            </w:r>
            <w:r>
              <w:rPr>
                <w:rFonts w:ascii="Times New Roman" w:hAnsi="Times New Roman"/>
                <w:sz w:val="24"/>
                <w:szCs w:val="24"/>
                <w:shd w:fill="FFFFFF" w:val="clear"/>
                <w:lang w:val="uk-UA"/>
              </w:rPr>
              <w:t>доступі до відомостей реєстру застрахованих осіб Державного реєстру загальнообов’язкового державного соціального страхування, неправомірного їх використання</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pacing w:val="-2"/>
                <w:sz w:val="24"/>
                <w:szCs w:val="24"/>
                <w:lang w:val="uk-UA"/>
              </w:rPr>
              <w:t>18.1 Впровадження переліку  ризикоорієнтованих критеріїв відбору операцій користувачів</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31.10.2022</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pacing w:val="-2"/>
                <w:sz w:val="24"/>
                <w:szCs w:val="24"/>
                <w:lang w:val="uk-UA"/>
              </w:rPr>
              <w:t>Складено перелік ризикоорієнтованих критеріїв відбору операцій користувачів</w:t>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shd w:fill="FFFFFF" w:val="clear"/>
                <w:lang w:val="uk-UA"/>
              </w:rPr>
            </w:pPr>
            <w:r>
              <w:rPr>
                <w:rFonts w:ascii="Times New Roman" w:hAnsi="Times New Roman"/>
                <w:sz w:val="24"/>
                <w:szCs w:val="24"/>
                <w:shd w:fill="FFFFFF" w:val="clear"/>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shd w:fill="FFFFFF" w:val="clear"/>
                <w:lang w:val="uk-UA"/>
              </w:rPr>
            </w:pPr>
            <w:r>
              <w:rPr>
                <w:rFonts w:ascii="Times New Roman" w:hAnsi="Times New Roman"/>
                <w:sz w:val="24"/>
                <w:szCs w:val="24"/>
                <w:shd w:fill="FFFFFF" w:val="clear"/>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pacing w:val="-2"/>
                <w:sz w:val="24"/>
                <w:szCs w:val="24"/>
                <w:lang w:val="uk-UA"/>
              </w:rPr>
              <w:t>18.2 Проведення вибіркових перевірок дій користувачів апарату Головного управління шляхом перегляду журналу операцій користувачів</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Рак</w:t>
            </w:r>
            <w:r>
              <w:rPr/>
              <w:t xml:space="preserve"> </w:t>
            </w:r>
            <w:r>
              <w:rPr>
                <w:rFonts w:eastAsia="Times New Roman" w:ascii="Times New Roman" w:hAnsi="Times New Roman"/>
                <w:sz w:val="24"/>
                <w:szCs w:val="24"/>
                <w:lang w:val="uk-UA" w:eastAsia="ru-RU"/>
              </w:rPr>
              <w:t>І.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щороку, відповідно до окремого плану</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rPr>
            </w:pPr>
            <w:r>
              <w:rPr>
                <w:rFonts w:eastAsia="Times New Roman"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pacing w:val="-2"/>
                <w:sz w:val="24"/>
                <w:szCs w:val="24"/>
                <w:lang w:val="uk-UA"/>
              </w:rPr>
            </w:pPr>
            <w:r>
              <w:rPr>
                <w:rFonts w:ascii="Times New Roman" w:hAnsi="Times New Roman"/>
                <w:spacing w:val="-2"/>
                <w:sz w:val="24"/>
                <w:szCs w:val="24"/>
                <w:lang w:val="uk-UA"/>
              </w:rPr>
              <w:t>Проведено вибіркову перевірку операцій користувачів, про результати проведеного контролю підготовлено та подано керівнику органу відповідну інформацію та пропозиції щодо управлінських рішень (за необхідності)</w:t>
            </w:r>
          </w:p>
          <w:p>
            <w:pPr>
              <w:pStyle w:val="Normal"/>
              <w:widowControl w:val="false"/>
              <w:spacing w:lineRule="auto" w:line="240" w:before="0" w:after="0"/>
              <w:jc w:val="both"/>
              <w:rPr>
                <w:rFonts w:ascii="Times New Roman" w:hAnsi="Times New Roman"/>
                <w:spacing w:val="-2"/>
                <w:sz w:val="24"/>
                <w:szCs w:val="24"/>
                <w:lang w:val="uk-UA"/>
              </w:rPr>
            </w:pPr>
            <w:r>
              <w:rPr>
                <w:rFonts w:ascii="Times New Roman" w:hAnsi="Times New Roman"/>
                <w:spacing w:val="-2"/>
                <w:sz w:val="24"/>
                <w:szCs w:val="24"/>
                <w:lang w:val="uk-UA"/>
              </w:rPr>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18</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pacing w:val="-2"/>
                <w:sz w:val="24"/>
                <w:szCs w:val="24"/>
                <w:lang w:val="uk-UA"/>
              </w:rPr>
            </w:pPr>
            <w:r>
              <w:rPr>
                <w:rFonts w:ascii="Times New Roman" w:hAnsi="Times New Roman"/>
                <w:spacing w:val="-2"/>
                <w:sz w:val="24"/>
                <w:szCs w:val="24"/>
                <w:lang w:val="uk-UA"/>
              </w:rPr>
              <w:t>19</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pacing w:val="-2"/>
                <w:sz w:val="24"/>
                <w:szCs w:val="24"/>
                <w:lang w:val="uk-UA"/>
              </w:rPr>
            </w:pPr>
            <w:bookmarkStart w:id="0" w:name="_Hlk82082885"/>
            <w:r>
              <w:rPr>
                <w:rFonts w:ascii="Times New Roman" w:hAnsi="Times New Roman"/>
                <w:spacing w:val="-2"/>
                <w:sz w:val="24"/>
                <w:szCs w:val="24"/>
                <w:lang w:val="uk-UA"/>
              </w:rPr>
              <w:t xml:space="preserve">Можливість задоволення приватного інтересу під час дій з інформацією в інформаційних системах </w:t>
            </w:r>
            <w:bookmarkEnd w:id="0"/>
            <w:r>
              <w:rPr>
                <w:rFonts w:ascii="Times New Roman" w:hAnsi="Times New Roman"/>
                <w:spacing w:val="-2"/>
                <w:sz w:val="24"/>
                <w:szCs w:val="24"/>
                <w:lang w:val="uk-UA"/>
              </w:rPr>
              <w:t>Фонду, її спотворення, блокування, зміна, знищення</w:t>
            </w:r>
          </w:p>
          <w:p>
            <w:pPr>
              <w:pStyle w:val="Normal"/>
              <w:widowControl w:val="false"/>
              <w:spacing w:lineRule="auto" w:line="240" w:before="0" w:after="0"/>
              <w:jc w:val="both"/>
              <w:rPr>
                <w:rFonts w:ascii="Times New Roman" w:hAnsi="Times New Roman"/>
                <w:spacing w:val="-2"/>
                <w:sz w:val="24"/>
                <w:szCs w:val="24"/>
                <w:lang w:val="uk-UA"/>
              </w:rPr>
            </w:pPr>
            <w:r>
              <w:rPr>
                <w:rFonts w:ascii="Times New Roman" w:hAnsi="Times New Roman"/>
                <w:spacing w:val="-2"/>
                <w:sz w:val="24"/>
                <w:szCs w:val="24"/>
                <w:lang w:val="uk-UA"/>
              </w:rPr>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pacing w:val="-2"/>
                <w:sz w:val="24"/>
                <w:szCs w:val="24"/>
                <w:lang w:val="uk-UA"/>
              </w:rPr>
            </w:pPr>
            <w:r>
              <w:rPr>
                <w:rFonts w:ascii="Times New Roman" w:hAnsi="Times New Roman"/>
                <w:spacing w:val="-2"/>
                <w:sz w:val="24"/>
                <w:szCs w:val="24"/>
                <w:lang w:val="uk-UA"/>
              </w:rPr>
              <w:t>19.1 Проведення вибіркової перевірки переліку користувачів, у яких наявні права доступу, що передбачають можливість внесення змін у прикладні системи ІКІС Фонду або їх візування, за відсутності відповідних обґрунтувань щодо надання таких прав</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Приймак Е. Д.,</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Рак</w:t>
            </w:r>
            <w:r>
              <w:rPr/>
              <w:t xml:space="preserve"> </w:t>
            </w:r>
            <w:r>
              <w:rPr>
                <w:rFonts w:eastAsia="Times New Roman" w:ascii="Times New Roman" w:hAnsi="Times New Roman"/>
                <w:sz w:val="24"/>
                <w:szCs w:val="24"/>
                <w:lang w:val="uk-UA" w:eastAsia="ru-RU"/>
              </w:rPr>
              <w:t>І. М.</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відповідно до окремого плану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pacing w:val="-2"/>
                <w:sz w:val="24"/>
                <w:szCs w:val="24"/>
                <w:lang w:val="uk-UA"/>
              </w:rPr>
            </w:pPr>
            <w:r>
              <w:rPr>
                <w:rFonts w:ascii="Times New Roman" w:hAnsi="Times New Roman"/>
                <w:sz w:val="24"/>
                <w:szCs w:val="24"/>
                <w:shd w:fill="FFFFFF" w:val="clear"/>
                <w:lang w:val="uk-UA"/>
              </w:rPr>
              <w:t xml:space="preserve">Проведено вибіркову перевірку. Вжито заходів реагування у разі встановлення наявності у працівників нерегламентованого доступу, що передбачає можливість </w:t>
            </w:r>
            <w:r>
              <w:rPr>
                <w:rFonts w:ascii="Times New Roman" w:hAnsi="Times New Roman"/>
                <w:spacing w:val="-2"/>
                <w:sz w:val="24"/>
                <w:szCs w:val="24"/>
                <w:lang w:val="uk-UA"/>
              </w:rPr>
              <w:t>внесення змін у прикладні системи ІКІС Фонду</w:t>
            </w:r>
          </w:p>
          <w:p>
            <w:pPr>
              <w:pStyle w:val="NoSpacing"/>
              <w:widowControl w:val="false"/>
              <w:jc w:val="both"/>
              <w:rPr>
                <w:rFonts w:ascii="Times New Roman" w:hAnsi="Times New Roman"/>
                <w:sz w:val="24"/>
                <w:szCs w:val="24"/>
                <w:shd w:fill="FFFFFF" w:val="clear"/>
                <w:lang w:val="uk-UA"/>
              </w:rPr>
            </w:pPr>
            <w:r>
              <w:rPr>
                <w:rFonts w:ascii="Times New Roman" w:hAnsi="Times New Roman"/>
                <w:sz w:val="24"/>
                <w:szCs w:val="24"/>
                <w:shd w:fill="FFFFFF" w:val="clear"/>
                <w:lang w:val="uk-UA"/>
              </w:rPr>
            </w:r>
          </w:p>
        </w:tc>
      </w:tr>
      <w:tr>
        <w:trPr/>
        <w:tc>
          <w:tcPr>
            <w:tcW w:w="1096"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r>
          </w:p>
        </w:tc>
        <w:tc>
          <w:tcPr>
            <w:tcW w:w="15002" w:type="dxa"/>
            <w:gridSpan w:val="9"/>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b/>
                <w:sz w:val="24"/>
                <w:szCs w:val="24"/>
                <w:lang w:val="uk-UA"/>
              </w:rPr>
              <w:t>Управління персоналом</w:t>
            </w:r>
          </w:p>
        </w:tc>
        <w:tc>
          <w:tcPr>
            <w:tcW w:w="28" w:type="dxa"/>
            <w:tcBorders/>
          </w:tcPr>
          <w:p>
            <w:pPr>
              <w:pStyle w:val="Normal"/>
              <w:widowControl w:val="false"/>
              <w:spacing w:before="0" w:after="200"/>
              <w:rPr/>
            </w:pPr>
            <w:r>
              <w:rPr/>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19</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000000"/>
                <w:sz w:val="24"/>
                <w:szCs w:val="24"/>
                <w:lang w:val="uk-UA"/>
              </w:rPr>
            </w:pPr>
            <w:r>
              <w:rPr>
                <w:rFonts w:ascii="Times New Roman" w:hAnsi="Times New Roman"/>
                <w:color w:val="000000"/>
                <w:sz w:val="24"/>
                <w:szCs w:val="24"/>
                <w:lang w:val="uk-UA"/>
              </w:rPr>
              <w:t>20</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000000"/>
                <w:sz w:val="24"/>
                <w:szCs w:val="24"/>
                <w:lang w:val="uk-UA"/>
              </w:rPr>
              <w:t>Можливість задоволення приватного інтересу під час формування умов проведення конкурсу під конкретних осіб без установлення взаємозв’язку між кваліфікаційними вимогами та вимогами до професійної компетентності кандидатів на зайняття посад державної служби та посадовими обов’язками</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20.1 Встановлення контролю за розробленням пропозицій до умов проведення конкурсу на підставі посадових інструкцій працівників та положень про структурні підрозділи із зазначенням кваліфікаційних вимог, які відповідають функціональним повноваженням на відповідній посаді, шляхом погодження їх зі службою управління персоналом та заступником начальника Головного управління відповідно до розподілу обов’язків</w:t>
            </w:r>
          </w:p>
        </w:tc>
        <w:tc>
          <w:tcPr>
            <w:tcW w:w="180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Грекова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 Головного управління</w:t>
            </w:r>
          </w:p>
        </w:tc>
        <w:tc>
          <w:tcPr>
            <w:tcW w:w="1740"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постійно</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(під час формування умов конкурсу)</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Забезпечено визначення кваліфікаційних вимог в пропозиціях до умов проведення конкурсу у відповідності до функціональних повноважень на відповідній посаді; здійснено їх погодження зі службою управління персоналом та </w:t>
            </w:r>
            <w:r>
              <w:rPr/>
              <w:t xml:space="preserve"> </w:t>
            </w:r>
            <w:r>
              <w:rPr>
                <w:rFonts w:ascii="Times New Roman" w:hAnsi="Times New Roman"/>
                <w:sz w:val="24"/>
                <w:szCs w:val="24"/>
                <w:lang w:val="uk-UA"/>
              </w:rPr>
              <w:t>заступником начальника Головного управління відповідно до розподілу обов’язків</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20</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000000"/>
                <w:sz w:val="24"/>
                <w:szCs w:val="24"/>
                <w:lang w:val="uk-UA"/>
              </w:rPr>
            </w:pPr>
            <w:r>
              <w:rPr>
                <w:rFonts w:ascii="Times New Roman" w:hAnsi="Times New Roman"/>
                <w:color w:val="000000"/>
                <w:sz w:val="24"/>
                <w:szCs w:val="24"/>
                <w:lang w:val="uk-UA"/>
              </w:rPr>
              <w:t>21</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000000"/>
                <w:sz w:val="24"/>
                <w:szCs w:val="24"/>
                <w:lang w:val="uk-UA"/>
              </w:rPr>
              <w:t>Можливість задоволення приватного інтересу під час внесення змін до структури та штатного розпису  Головного управління</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21.1 Надання пропозицій щодо розробки Типової структури територіальних органів Фонду, яка визначає єдиний підхід до визначення</w:t>
            </w:r>
            <w:r>
              <w:rPr>
                <w:rFonts w:ascii="Times New Roman" w:hAnsi="Times New Roman"/>
                <w:sz w:val="24"/>
                <w:szCs w:val="24"/>
              </w:rPr>
              <w:t xml:space="preserve"> </w:t>
            </w:r>
            <w:r>
              <w:rPr>
                <w:rFonts w:ascii="Times New Roman" w:hAnsi="Times New Roman"/>
                <w:sz w:val="24"/>
                <w:szCs w:val="24"/>
                <w:lang w:val="uk-UA"/>
              </w:rPr>
              <w:t>структури та штатного розпису, у тому числі підстави для внесення змін до них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0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40"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28.02.2022</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Надано пропозиції  </w:t>
            </w:r>
            <w:r>
              <w:rPr/>
              <w:t xml:space="preserve"> </w:t>
            </w:r>
            <w:r>
              <w:rPr>
                <w:rFonts w:ascii="Times New Roman" w:hAnsi="Times New Roman"/>
                <w:sz w:val="24"/>
                <w:szCs w:val="24"/>
                <w:lang w:val="uk-UA"/>
              </w:rPr>
              <w:t>щодо розробки типової</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структури територіальних органів Фонду</w:t>
            </w:r>
          </w:p>
        </w:tc>
      </w:tr>
      <w:tr>
        <w:trPr>
          <w:trHeight w:val="3237" w:hRule="atLeast"/>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21</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000000"/>
                <w:sz w:val="24"/>
                <w:szCs w:val="24"/>
                <w:lang w:val="uk-UA"/>
              </w:rPr>
            </w:pPr>
            <w:r>
              <w:rPr>
                <w:rFonts w:ascii="Times New Roman" w:hAnsi="Times New Roman"/>
                <w:color w:val="000000"/>
                <w:sz w:val="24"/>
                <w:szCs w:val="24"/>
                <w:lang w:val="uk-UA"/>
              </w:rPr>
              <w:t>22</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000000"/>
                <w:sz w:val="24"/>
                <w:szCs w:val="24"/>
                <w:lang w:val="uk-UA"/>
              </w:rPr>
              <w:t>Можливість впливу з боку третіх осіб на прийняття рішення щодо нагородження відомчими заохочувальними відзнаками Фонду</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22.2 Погодження із службою управління персоналом подань про висунення кандидатур від трудових колективів з метою здійснення контролю за дотриманням порядку документального оформлення рішень, повноти зазначення заслуг працівника, що стали підставою для порушення клопотання про нагородження</w:t>
            </w:r>
          </w:p>
        </w:tc>
        <w:tc>
          <w:tcPr>
            <w:tcW w:w="180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Петров В.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40"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постійно</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(під час надходження подань)</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Забезпечено належне оформлення подання для порушення клопотання про нагородження</w:t>
            </w:r>
          </w:p>
        </w:tc>
      </w:tr>
      <w:tr>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22</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23</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Можливість порушення обмеження щодо запобігання конфлікту інтересів під час </w:t>
            </w:r>
            <w:r>
              <w:rPr>
                <w:rFonts w:ascii="Times New Roman" w:hAnsi="Times New Roman"/>
                <w:color w:val="000000"/>
                <w:sz w:val="24"/>
                <w:szCs w:val="24"/>
                <w:lang w:val="uk-UA"/>
              </w:rPr>
              <w:t>здійснення дисциплінарного провадження</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23.1 Впровадження відеофіксації під час проведення засідань дисциплінарною комісією (за згодою особи, стосовно якої відкрито дисциплінарну справу)</w:t>
            </w:r>
          </w:p>
        </w:tc>
        <w:tc>
          <w:tcPr>
            <w:tcW w:w="180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Дисциплінарна комісія Головного управління,</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40"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постійно</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(під час проведення засідань)</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 межах коштів, передбачених кошторисом на утримання Головного управління</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Впроваджено відеофіксацію під час проведення засідань дисциплінарною комісією (за згодою особи, стосовно якої відкрито дисциплінарну справу)</w:t>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23.2 Розробка пам’ятки про персональну відповідальність за порушення антикорупційного законодавства та обов’язок запобігати виникненню конфлікту інтересів</w:t>
            </w:r>
          </w:p>
        </w:tc>
        <w:tc>
          <w:tcPr>
            <w:tcW w:w="180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tc>
        <w:tc>
          <w:tcPr>
            <w:tcW w:w="1740"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31.12.2021</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Розроблено пам’ятку про персональну відповідальність за порушення законодавства та обов’язок запобігати виникненню конфлікту інтересів</w:t>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23.3 Ознайомлення під особистий підпис членів дисциплінарної комісії із пам’яткою про персональну відповідальність за порушення антикорупційного законодавства та обов’язок запобігати виникненню конфлікту інтересів</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0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tc>
        <w:tc>
          <w:tcPr>
            <w:tcW w:w="1740"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постійно</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(до початку проведення першого засідання)</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Забезпечено ознайомлення членів дисциплінарної комісії із пам’яткою під особистий підпис</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rHeight w:val="841"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993" w:leader="none"/>
              </w:tabs>
              <w:spacing w:lineRule="auto" w:line="240" w:before="0" w:after="120"/>
              <w:jc w:val="both"/>
              <w:rPr>
                <w:rFonts w:ascii="Times New Roman" w:hAnsi="Times New Roman"/>
                <w:sz w:val="24"/>
                <w:szCs w:val="24"/>
                <w:lang w:val="uk-UA"/>
              </w:rPr>
            </w:pPr>
            <w:r>
              <w:rPr>
                <w:rFonts w:ascii="Times New Roman" w:hAnsi="Times New Roman"/>
                <w:sz w:val="24"/>
                <w:szCs w:val="24"/>
                <w:shd w:fill="FFFFFF" w:val="clear"/>
                <w:lang w:val="uk-UA"/>
              </w:rPr>
              <w:t>23.4 Р</w:t>
            </w:r>
            <w:r>
              <w:rPr>
                <w:rFonts w:ascii="Times New Roman" w:hAnsi="Times New Roman"/>
                <w:sz w:val="24"/>
                <w:szCs w:val="24"/>
                <w:lang w:val="uk-UA"/>
              </w:rPr>
              <w:t xml:space="preserve">озробка та поширення серед членів дисциплінарної комісії </w:t>
            </w:r>
            <w:r>
              <w:rPr>
                <w:rFonts w:ascii="Times New Roman" w:hAnsi="Times New Roman"/>
                <w:sz w:val="24"/>
                <w:szCs w:val="24"/>
                <w:shd w:fill="FFFFFF" w:val="clear"/>
                <w:lang w:val="uk-UA"/>
              </w:rPr>
              <w:t>довідкових матеріалів (інфографіки) щодо процедури (алгоритму) повідомлення про наявність у них конфлікту інтересів, його врегулювання із наведенням прикладів ситуацій виникнення потенційного чи реального конфлікту інтересів</w:t>
            </w:r>
          </w:p>
        </w:tc>
        <w:tc>
          <w:tcPr>
            <w:tcW w:w="180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tc>
        <w:tc>
          <w:tcPr>
            <w:tcW w:w="1740"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31.03.2022</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 межах коштів, передбачених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кошторисом</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Головного управління</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Забезпечено поширення </w:t>
            </w:r>
            <w:r>
              <w:rPr>
                <w:rFonts w:ascii="Times New Roman" w:hAnsi="Times New Roman"/>
                <w:sz w:val="24"/>
                <w:szCs w:val="24"/>
                <w:shd w:fill="FFFFFF" w:val="clear"/>
                <w:lang w:val="uk-UA"/>
              </w:rPr>
              <w:t>довідкових матеріалів (інфографіки) серед членів дисциплінарної комісії</w:t>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993" w:leader="none"/>
              </w:tabs>
              <w:spacing w:lineRule="auto" w:line="240" w:before="0" w:after="120"/>
              <w:jc w:val="both"/>
              <w:rPr>
                <w:rFonts w:ascii="Times New Roman" w:hAnsi="Times New Roman"/>
                <w:sz w:val="24"/>
                <w:szCs w:val="24"/>
                <w:shd w:fill="FFFFFF" w:val="clear"/>
                <w:lang w:val="uk-UA"/>
              </w:rPr>
            </w:pPr>
            <w:r>
              <w:rPr>
                <w:rFonts w:ascii="Times New Roman" w:hAnsi="Times New Roman"/>
                <w:sz w:val="24"/>
                <w:szCs w:val="24"/>
                <w:lang w:val="uk-UA"/>
              </w:rPr>
              <w:t xml:space="preserve">23.5 Розробка та прийняття внутрішньої процедури (алгоритму) </w:t>
            </w:r>
            <w:r>
              <w:rPr>
                <w:rFonts w:ascii="Times New Roman" w:hAnsi="Times New Roman"/>
                <w:sz w:val="24"/>
                <w:szCs w:val="24"/>
                <w:shd w:fill="FFFFFF" w:val="clear"/>
                <w:lang w:val="uk-UA"/>
              </w:rPr>
              <w:t>врегулювання конфлікту інтересів, що виник у діяльності членів дисциплінарної комісії під час підготовки, розгляду та прийняття рішень</w:t>
            </w:r>
          </w:p>
        </w:tc>
        <w:tc>
          <w:tcPr>
            <w:tcW w:w="180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tc>
        <w:tc>
          <w:tcPr>
            <w:tcW w:w="1740"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01.07.2022</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 </w:t>
            </w:r>
            <w:r>
              <w:rPr>
                <w:rFonts w:ascii="Times New Roman" w:hAnsi="Times New Roman"/>
                <w:sz w:val="24"/>
                <w:szCs w:val="24"/>
                <w:lang w:val="uk-UA"/>
              </w:rPr>
              <w:t xml:space="preserve">Розроблено та прийнято алгоритм </w:t>
            </w:r>
            <w:r>
              <w:rPr>
                <w:rFonts w:ascii="Times New Roman" w:hAnsi="Times New Roman"/>
                <w:sz w:val="24"/>
                <w:szCs w:val="24"/>
                <w:shd w:fill="FFFFFF" w:val="clear"/>
                <w:lang w:val="uk-UA"/>
              </w:rPr>
              <w:t>врегулювання конфлікту інтересів</w:t>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23</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24</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протиправного впливу на результати щорічного оцінювання результатів службової діяльності державних службовців Головного управління</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24.1 Впровадження вибіркового моніторингу  обґрунтованості висновків, складених за результатами щорічного оцінювання</w:t>
            </w:r>
          </w:p>
        </w:tc>
        <w:tc>
          <w:tcPr>
            <w:tcW w:w="1808"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Неділько К. М.</w:t>
            </w:r>
          </w:p>
        </w:tc>
        <w:tc>
          <w:tcPr>
            <w:tcW w:w="1740"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щороку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(під час проведення щорічного оцінювання)</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не потребує додаткових ресурсів</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Забезпечено щорічне інформування начальника Головного управління про результати вибіркового моніторингу. У встановленому законодавством порядку вирішено питання про притягнення до відповідальності винних осіб (у разі встановлення відповідних фактів)</w:t>
            </w:r>
          </w:p>
        </w:tc>
      </w:tr>
      <w:tr>
        <w:trPr/>
        <w:tc>
          <w:tcPr>
            <w:tcW w:w="1096"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r>
          </w:p>
        </w:tc>
        <w:tc>
          <w:tcPr>
            <w:tcW w:w="15002" w:type="dxa"/>
            <w:gridSpan w:val="9"/>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b/>
                <w:sz w:val="24"/>
                <w:szCs w:val="24"/>
                <w:lang w:val="uk-UA"/>
              </w:rPr>
              <w:t>Внутрішній аудит</w:t>
            </w:r>
          </w:p>
        </w:tc>
        <w:tc>
          <w:tcPr>
            <w:tcW w:w="28" w:type="dxa"/>
            <w:tcBorders/>
          </w:tcPr>
          <w:p>
            <w:pPr>
              <w:pStyle w:val="Normal"/>
              <w:widowControl w:val="false"/>
              <w:spacing w:before="0" w:after="200"/>
              <w:rPr/>
            </w:pPr>
            <w:r>
              <w:rPr/>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24</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25</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отримання неправомірної вигоди у зв’язку з не включенням об’єкта аудиту до стратегічного та операційного планів діяльності з внутрішнього аудиту</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color w:val="191919"/>
                <w:sz w:val="24"/>
                <w:szCs w:val="24"/>
                <w:shd w:fill="FFFFFF" w:val="clear"/>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b/>
                <w:b/>
                <w:sz w:val="24"/>
                <w:szCs w:val="24"/>
                <w:lang w:val="uk-UA"/>
              </w:rPr>
            </w:pPr>
            <w:r>
              <w:rPr>
                <w:rFonts w:ascii="Times New Roman" w:hAnsi="Times New Roman"/>
                <w:sz w:val="24"/>
                <w:szCs w:val="24"/>
                <w:lang w:val="uk-UA"/>
              </w:rPr>
              <w:t>25.1 Впровадження механізму відбору об’єктів аудиту шляхом застосування критеріїв ризик-орієнтованого відбору об’єктів аудиту для формування стратегічних та операційних планів діяльності з внутрішнього аудиту</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Неділько К.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highlight w:val="yellow"/>
                <w:lang w:val="uk-UA"/>
              </w:rPr>
            </w:pPr>
            <w:r>
              <w:rPr>
                <w:rFonts w:ascii="Times New Roman" w:hAnsi="Times New Roman"/>
                <w:color w:val="191919"/>
                <w:sz w:val="24"/>
                <w:szCs w:val="24"/>
                <w:shd w:fill="FFFFFF" w:val="clear"/>
                <w:lang w:val="uk-UA"/>
              </w:rPr>
              <w:t>31.12.2021</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Забезпечено 100 % застосування критеріїв ризик-орієнтованого відбору об’єктів аудиту під час формування стратегічних та операційних планів діяльності з внутрішнього аудиту</w:t>
            </w:r>
          </w:p>
        </w:tc>
        <w:tc>
          <w:tcPr>
            <w:tcW w:w="28" w:type="dxa"/>
            <w:tcBorders/>
          </w:tcPr>
          <w:p>
            <w:pPr>
              <w:pStyle w:val="Normal"/>
              <w:widowControl w:val="false"/>
              <w:spacing w:before="0" w:after="200"/>
              <w:rPr/>
            </w:pPr>
            <w:r>
              <w:rPr/>
            </w:r>
          </w:p>
        </w:tc>
      </w:tr>
      <w:tr>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25</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26</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впливу третіх осіб на об’єктивність відображення результатів аудиторських досліджень в матеріалах внутрішнього аудиту</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color w:val="191919"/>
                <w:sz w:val="24"/>
                <w:szCs w:val="24"/>
                <w:shd w:fill="FFFFFF" w:val="clear"/>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26.1 Впровадження вибіркового моніторингу документів контрольних перевірок проведених структурними підрозділами Головного управління</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Неділько К. М.</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щопівроку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eastAsia="Times New Roman" w:ascii="Times New Roman" w:hAnsi="Times New Roman"/>
                <w:sz w:val="24"/>
                <w:szCs w:val="24"/>
                <w:lang w:val="uk-UA" w:eastAsia="ru-RU"/>
              </w:rPr>
              <w:t xml:space="preserve">Впроваджено вибірковий моніторинг, про </w:t>
            </w:r>
            <w:r>
              <w:rPr>
                <w:rFonts w:ascii="Times New Roman" w:hAnsi="Times New Roman"/>
                <w:sz w:val="24"/>
                <w:szCs w:val="24"/>
                <w:lang w:val="uk-UA"/>
              </w:rPr>
              <w:t>результати якого повідомлено керівництво органу для прийняття управлінських рішень</w:t>
            </w:r>
          </w:p>
        </w:tc>
        <w:tc>
          <w:tcPr>
            <w:tcW w:w="28" w:type="dxa"/>
            <w:tcBorders/>
          </w:tcPr>
          <w:p>
            <w:pPr>
              <w:pStyle w:val="Normal"/>
              <w:widowControl w:val="false"/>
              <w:spacing w:before="0" w:after="200"/>
              <w:rPr/>
            </w:pPr>
            <w:r>
              <w:rPr/>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eastAsia="ru-RU"/>
              </w:rPr>
              <w:t>26.2 Впровадження вибіркового моніторингу результатів аудиторської діяльності (при плануванні та здійсненні аудиторського дослідження) членами аудиторської групи Головного управління</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Кудінова І. 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щопівроку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eastAsia="Times New Roman" w:ascii="Times New Roman" w:hAnsi="Times New Roman"/>
                <w:sz w:val="24"/>
                <w:szCs w:val="24"/>
                <w:lang w:val="uk-UA" w:eastAsia="ru-RU"/>
              </w:rPr>
              <w:t>Впроваджено вибірковий моніторинг,</w:t>
            </w:r>
            <w:r>
              <w:rPr>
                <w:rFonts w:ascii="Times New Roman" w:hAnsi="Times New Roman"/>
                <w:sz w:val="24"/>
                <w:szCs w:val="24"/>
                <w:lang w:val="uk-UA"/>
              </w:rPr>
              <w:t xml:space="preserve"> про результати якого повідомлено керівництво органу для прийняття управлінських рішень</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28" w:type="dxa"/>
            <w:tcBorders/>
          </w:tcPr>
          <w:p>
            <w:pPr>
              <w:pStyle w:val="Normal"/>
              <w:widowControl w:val="false"/>
              <w:spacing w:before="0" w:after="200"/>
              <w:rPr/>
            </w:pPr>
            <w:r>
              <w:rPr/>
            </w:r>
          </w:p>
        </w:tc>
      </w:tr>
      <w:tr>
        <w:trPr/>
        <w:tc>
          <w:tcPr>
            <w:tcW w:w="1096"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b/>
                <w:b/>
                <w:bCs/>
                <w:sz w:val="24"/>
                <w:szCs w:val="24"/>
                <w:lang w:val="uk-UA"/>
              </w:rPr>
            </w:pPr>
            <w:r>
              <w:rPr>
                <w:rFonts w:ascii="Times New Roman" w:hAnsi="Times New Roman"/>
                <w:b/>
                <w:bCs/>
                <w:sz w:val="24"/>
                <w:szCs w:val="24"/>
                <w:lang w:val="uk-UA"/>
              </w:rPr>
            </w:r>
          </w:p>
        </w:tc>
        <w:tc>
          <w:tcPr>
            <w:tcW w:w="15002" w:type="dxa"/>
            <w:gridSpan w:val="9"/>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b/>
                <w:bCs/>
                <w:sz w:val="24"/>
                <w:szCs w:val="24"/>
                <w:lang w:val="uk-UA"/>
              </w:rPr>
              <w:t>Контрольно-перевірочна робота</w:t>
            </w:r>
          </w:p>
        </w:tc>
        <w:tc>
          <w:tcPr>
            <w:tcW w:w="28" w:type="dxa"/>
            <w:tcBorders/>
          </w:tcPr>
          <w:p>
            <w:pPr>
              <w:pStyle w:val="Normal"/>
              <w:widowControl w:val="false"/>
              <w:spacing w:before="0" w:after="200"/>
              <w:rPr/>
            </w:pPr>
            <w:r>
              <w:rPr/>
            </w:r>
          </w:p>
        </w:tc>
      </w:tr>
      <w:tr>
        <w:trPr>
          <w:trHeight w:val="2887" w:hRule="atLeast"/>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26</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27</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отримання неправомірної вигоди посадовою особою</w:t>
            </w:r>
            <w:r>
              <w:rPr>
                <w:rFonts w:ascii="Times New Roman" w:hAnsi="Times New Roman"/>
                <w:bCs/>
                <w:sz w:val="24"/>
                <w:szCs w:val="24"/>
                <w:lang w:val="uk-UA"/>
              </w:rPr>
              <w:t xml:space="preserve"> </w:t>
            </w:r>
            <w:r>
              <w:rPr>
                <w:rFonts w:ascii="Times New Roman" w:hAnsi="Times New Roman"/>
                <w:sz w:val="24"/>
                <w:szCs w:val="24"/>
                <w:lang w:val="uk-UA"/>
              </w:rPr>
              <w:t>під час здійснення контрольних заходів (перевірок)</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color w:val="191919"/>
                <w:sz w:val="24"/>
                <w:szCs w:val="24"/>
                <w:shd w:fill="FFFFFF" w:val="clear"/>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27.2 Розробка пам’ятки про персональну відповідальність за порушення законодавства та обов’язок повідомлення керівника у разі спроб протиправного впливу з боку третіх осіб</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31.12.2021</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 додаткових ресурсів</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Розроблено пам’ятку про персональну відповідальність за порушення законодавства та обов’язок повідомлення керівника у разі спроб протиправного впливу з боку третіх осіб</w:t>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27.3. Ознайомлення посадових осіб, які здійснюють контрольні заходи, Головного управління з пам’яткою під особистий підпис</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Уповноважений підрозділ  з питань запобігання та виявлення корупції Головного управління</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щопівроку</w:t>
            </w:r>
          </w:p>
          <w:p>
            <w:pPr>
              <w:pStyle w:val="Normal"/>
              <w:widowControl w:val="false"/>
              <w:spacing w:lineRule="auto" w:line="240" w:before="0" w:after="0"/>
              <w:ind w:left="-107" w:firstLine="107"/>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(новопризначених працівників – протягом десяти робочих днів з дня призначення)</w:t>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 додаткових ресурсів</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bCs/>
                <w:sz w:val="24"/>
                <w:szCs w:val="24"/>
                <w:lang w:val="uk-UA"/>
              </w:rPr>
            </w:pPr>
            <w:r>
              <w:rPr>
                <w:rFonts w:ascii="Times New Roman" w:hAnsi="Times New Roman"/>
                <w:bCs/>
                <w:sz w:val="24"/>
                <w:szCs w:val="24"/>
                <w:lang w:val="uk-UA"/>
              </w:rPr>
              <w:t>Забезпечено ознайомлення працівників із пам’яткою під особистий підпис</w:t>
            </w:r>
          </w:p>
          <w:p>
            <w:pPr>
              <w:pStyle w:val="NoSpacing"/>
              <w:widowControl w:val="false"/>
              <w:jc w:val="both"/>
              <w:rPr>
                <w:rFonts w:ascii="Times New Roman" w:hAnsi="Times New Roman"/>
                <w:bCs/>
                <w:sz w:val="24"/>
                <w:szCs w:val="24"/>
                <w:lang w:val="uk-UA"/>
              </w:rPr>
            </w:pPr>
            <w:r>
              <w:rPr>
                <w:rFonts w:ascii="Times New Roman" w:hAnsi="Times New Roman"/>
                <w:bCs/>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27</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both"/>
              <w:rPr>
                <w:rFonts w:ascii="Times New Roman" w:hAnsi="Times New Roman"/>
                <w:sz w:val="24"/>
                <w:szCs w:val="24"/>
                <w:lang w:val="uk-UA"/>
              </w:rPr>
            </w:pPr>
            <w:r>
              <w:rPr>
                <w:rFonts w:ascii="Times New Roman" w:hAnsi="Times New Roman"/>
                <w:sz w:val="24"/>
                <w:szCs w:val="24"/>
                <w:lang w:val="uk-UA"/>
              </w:rPr>
              <w:t>28</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both"/>
              <w:rPr>
                <w:rFonts w:ascii="Times New Roman" w:hAnsi="Times New Roman"/>
                <w:sz w:val="24"/>
                <w:szCs w:val="24"/>
                <w:lang w:val="uk-UA"/>
              </w:rPr>
            </w:pPr>
            <w:r>
              <w:rPr>
                <w:rFonts w:ascii="Times New Roman" w:hAnsi="Times New Roman"/>
                <w:sz w:val="24"/>
                <w:szCs w:val="24"/>
                <w:lang w:val="uk-UA"/>
              </w:rPr>
              <w:t>Можливість вимагання/ отримання неправомірної вигоди за невключення суб’єктів господарювання до річного плану здійснення заходів державного нагляду (контролю)</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center"/>
              <w:rPr>
                <w:rFonts w:ascii="Times New Roman" w:hAnsi="Times New Roman"/>
                <w:sz w:val="24"/>
                <w:szCs w:val="24"/>
                <w:lang w:val="uk-UA"/>
              </w:rPr>
            </w:pPr>
            <w:r>
              <w:rPr>
                <w:rFonts w:ascii="Times New Roman" w:hAnsi="Times New Roman"/>
                <w:sz w:val="24"/>
                <w:szCs w:val="24"/>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28.1 Впровадження програмного забезпечення формування річного плану здійснення заходів державного нагляду (контролю) в автоматичному режимі</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Саєнко О. С., Назарова Я. Б.</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31.12.2022</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571"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 межах коштів, передбаче</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кошторисом</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на утримання</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Головного управління</w:t>
            </w:r>
          </w:p>
        </w:tc>
        <w:tc>
          <w:tcPr>
            <w:tcW w:w="2542"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Впроваджено програмне забезпечення, яке надає можливість формувати річний план здійснення заходів державного нагляду (контролю) у автоматичному режимі</w:t>
            </w:r>
          </w:p>
        </w:tc>
      </w:tr>
      <w:tr>
        <w:trPr/>
        <w:tc>
          <w:tcPr>
            <w:tcW w:w="1096"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Spacing"/>
              <w:widowControl w:val="false"/>
              <w:jc w:val="center"/>
              <w:rPr>
                <w:rFonts w:ascii="Times New Roman" w:hAnsi="Times New Roman"/>
                <w:b/>
                <w:b/>
                <w:bCs/>
                <w:sz w:val="24"/>
                <w:szCs w:val="24"/>
                <w:lang w:val="uk-UA"/>
              </w:rPr>
            </w:pPr>
            <w:r>
              <w:rPr>
                <w:rFonts w:ascii="Times New Roman" w:hAnsi="Times New Roman"/>
                <w:b/>
                <w:bCs/>
                <w:sz w:val="24"/>
                <w:szCs w:val="24"/>
                <w:lang w:val="uk-UA"/>
              </w:rPr>
            </w:r>
          </w:p>
        </w:tc>
        <w:tc>
          <w:tcPr>
            <w:tcW w:w="15002" w:type="dxa"/>
            <w:gridSpan w:val="9"/>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Spacing"/>
              <w:widowControl w:val="false"/>
              <w:jc w:val="center"/>
              <w:rPr>
                <w:rFonts w:ascii="Times New Roman" w:hAnsi="Times New Roman"/>
                <w:sz w:val="24"/>
                <w:szCs w:val="24"/>
                <w:lang w:val="uk-UA"/>
              </w:rPr>
            </w:pPr>
            <w:r>
              <w:rPr>
                <w:rFonts w:ascii="Times New Roman" w:hAnsi="Times New Roman"/>
                <w:b/>
                <w:bCs/>
                <w:sz w:val="24"/>
                <w:szCs w:val="24"/>
                <w:lang w:val="uk-UA"/>
              </w:rPr>
              <w:t>Запобігання корупції</w:t>
            </w:r>
          </w:p>
        </w:tc>
        <w:tc>
          <w:tcPr>
            <w:tcW w:w="28" w:type="dxa"/>
            <w:tcBorders/>
          </w:tcPr>
          <w:p>
            <w:pPr>
              <w:pStyle w:val="Normal"/>
              <w:widowControl w:val="false"/>
              <w:spacing w:before="0" w:after="200"/>
              <w:rPr/>
            </w:pPr>
            <w:r>
              <w:rPr/>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28</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29</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Можливість задоволення приватного інтересу під час здійснення моніторингу офіційного вебпорталу “Судова влада України”, Єдиного державного реєстру судових рішень щодо наявності судових рішень про притягнення працівників Головного управління до відповідальності за вчинення корупційного чи пов’язаного з корупцією правопорушення</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29.1 Участь у розробці алгоритму дій уповноважених підрозділів (уповноваженої особи) з питань запобігання та виявлення корупції щодо моніторингу офіційного вебпорталу “Судова влада України”, Єдиного державного реєстру судових рішень</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30.06.2022</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Застосовується алгоритм дій уповноважених підрозділів (уповноваженої особи) з питань запобігання та виявлення корупції</w:t>
            </w:r>
          </w:p>
        </w:tc>
        <w:tc>
          <w:tcPr>
            <w:tcW w:w="28" w:type="dxa"/>
            <w:tcBorders/>
          </w:tcPr>
          <w:p>
            <w:pPr>
              <w:pStyle w:val="Normal"/>
              <w:widowControl w:val="false"/>
              <w:spacing w:before="0" w:after="200"/>
              <w:rPr/>
            </w:pPr>
            <w:r>
              <w:rPr/>
            </w:r>
          </w:p>
        </w:tc>
      </w:tr>
      <w:tr>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29</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30</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неповідомлення посадовими особами Головного управління та іншими особами про можливі факти корупційних або пов’язаних з корупцією правопорушень, вчинених іншими посадовими особами Фонду</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30.1 </w:t>
            </w:r>
            <w:r>
              <w:rPr/>
              <w:t xml:space="preserve"> </w:t>
            </w:r>
            <w:r>
              <w:rPr>
                <w:rFonts w:ascii="Times New Roman" w:hAnsi="Times New Roman"/>
                <w:sz w:val="24"/>
                <w:szCs w:val="24"/>
                <w:lang w:val="uk-UA"/>
              </w:rPr>
              <w:t>Прийнято участь у розробці акту, який регулює механізми заохочення викривачів та забезпечує формування культури повідомлення про можливі факти корупційних або пов’язаних з корупцією правопорушень, інших порушень Закону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31.10.2022</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highlight w:val="yellow"/>
                <w:lang w:val="uk-UA"/>
              </w:rPr>
            </w:pPr>
            <w:r>
              <w:rPr>
                <w:rFonts w:ascii="Times New Roman" w:hAnsi="Times New Roman"/>
                <w:sz w:val="24"/>
                <w:szCs w:val="24"/>
                <w:lang w:val="uk-UA"/>
              </w:rPr>
              <w:t xml:space="preserve">Впроваджено акт, </w:t>
            </w:r>
            <w:r>
              <w:rPr>
                <w:lang w:val="uk-UA"/>
              </w:rPr>
              <w:t xml:space="preserve"> </w:t>
            </w:r>
            <w:r>
              <w:rPr>
                <w:rFonts w:ascii="Times New Roman" w:hAnsi="Times New Roman"/>
                <w:sz w:val="24"/>
                <w:szCs w:val="24"/>
                <w:lang w:val="uk-UA"/>
              </w:rPr>
              <w:t>який регулює механізми заохочення викривачів та забезпечує формування культури повідомлення про можливі факти корупційних або пов’язаних з корупцією правопорушень, інших порушень Закону</w:t>
            </w:r>
          </w:p>
        </w:tc>
        <w:tc>
          <w:tcPr>
            <w:tcW w:w="28" w:type="dxa"/>
            <w:tcBorders/>
          </w:tcPr>
          <w:p>
            <w:pPr>
              <w:pStyle w:val="Normal"/>
              <w:widowControl w:val="false"/>
              <w:spacing w:before="0" w:after="200"/>
              <w:rPr/>
            </w:pPr>
            <w:r>
              <w:rPr/>
            </w:r>
          </w:p>
        </w:tc>
      </w:tr>
      <w:tr>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30.2 Проведення регулярних комунікаційних кампаній  щодо захисту трудових прав викривача; прав викривача на конфіденційність та анонімність; прав викривача на отримання інформації; прав викривача на винагороду; юридичної відповідальності викривача; інших прав та гарантій захисту викривача</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Водолазскін      Р.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щороку,</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але не рідше раз на рік</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в межах коштів, передбаче</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них</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кошторисом</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на утримання</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sz w:val="24"/>
                <w:szCs w:val="24"/>
                <w:lang w:val="uk-UA"/>
              </w:rPr>
              <w:t>Головного управління</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Проведено комунікаційну компанію щодо прав викривача</w:t>
            </w:r>
          </w:p>
        </w:tc>
        <w:tc>
          <w:tcPr>
            <w:tcW w:w="28" w:type="dxa"/>
            <w:tcBorders/>
          </w:tcPr>
          <w:p>
            <w:pPr>
              <w:pStyle w:val="Normal"/>
              <w:widowControl w:val="false"/>
              <w:spacing w:before="0" w:after="200"/>
              <w:rPr/>
            </w:pPr>
            <w:r>
              <w:rPr/>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30</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31</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Можливість не проведення спеціальних перевірок стосовно осіб, які претендують на зайняття вакантних посад в Головному управлінні</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uk-UA"/>
              </w:rPr>
            </w:pPr>
            <w:r>
              <w:rPr>
                <w:rFonts w:ascii="Times New Roman" w:hAnsi="Times New Roman"/>
                <w:sz w:val="24"/>
                <w:szCs w:val="24"/>
                <w:lang w:val="uk-UA"/>
              </w:rPr>
              <w:t xml:space="preserve">31.1  </w:t>
            </w:r>
            <w:r>
              <w:rPr>
                <w:rFonts w:eastAsia="Times New Roman" w:ascii="Times New Roman" w:hAnsi="Times New Roman"/>
                <w:sz w:val="24"/>
                <w:szCs w:val="24"/>
                <w:lang w:val="uk-UA" w:eastAsia="uk-UA"/>
              </w:rPr>
              <w:t>Прийняття локального акта, який визначатиме алгоритм взаємодії уповноваженого підрозділу з питань запобігання та виявлення корупції із службою Управління персоналом з цих питань</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31.12.2022</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прийнято акт</w:t>
            </w:r>
          </w:p>
        </w:tc>
        <w:tc>
          <w:tcPr>
            <w:tcW w:w="28" w:type="dxa"/>
            <w:tcBorders/>
          </w:tcPr>
          <w:p>
            <w:pPr>
              <w:pStyle w:val="Normal"/>
              <w:widowControl w:val="false"/>
              <w:spacing w:before="0" w:after="200"/>
              <w:rPr/>
            </w:pPr>
            <w:r>
              <w:rPr/>
            </w:r>
          </w:p>
        </w:tc>
      </w:tr>
      <w:tr>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31</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32</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спільної роботи близьких осіб в Головному управлінні</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32.1  Впровадження додаткових контрольних заходів шляхом здійснення аналізу уповноваженим підрозділом з питань запобігання та виявлення корупції матеріалів особових справ працівників на предмет виявлення близьких осіб за обставин їх прямої підпорядкованості та фактів неповідомлення працівниками їх керівництва про працюючих близьких осіб</w:t>
            </w:r>
          </w:p>
          <w:p>
            <w:pPr>
              <w:pStyle w:val="Normal"/>
              <w:widowControl w:val="false"/>
              <w:spacing w:lineRule="auto" w:line="240" w:before="0" w:after="0"/>
              <w:jc w:val="both"/>
              <w:rPr>
                <w:rFonts w:ascii="Times New Roman" w:hAnsi="Times New Roman"/>
                <w:strike/>
                <w:sz w:val="24"/>
                <w:szCs w:val="24"/>
                <w:lang w:val="uk-UA"/>
              </w:rPr>
            </w:pPr>
            <w:r>
              <w:rPr>
                <w:rFonts w:ascii="Times New Roman" w:hAnsi="Times New Roman"/>
                <w:strike/>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Вєтрова О. М.</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протягом</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2022–2023 років</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Впроваджено додаткові заходи контролю. Забезпечено ознайомлення уповноваженим підрозділом з питань запобігання та виявлення корупції з матеріалами особових справ працівників Головного управління. Підготовлено та подано начальнику Головного управління відповідну інформацію та пропозиції (за потреби)</w:t>
            </w:r>
          </w:p>
        </w:tc>
        <w:tc>
          <w:tcPr>
            <w:tcW w:w="28" w:type="dxa"/>
            <w:tcBorders/>
          </w:tcPr>
          <w:p>
            <w:pPr>
              <w:pStyle w:val="Normal"/>
              <w:widowControl w:val="false"/>
              <w:spacing w:before="0" w:after="200"/>
              <w:rPr/>
            </w:pPr>
            <w:r>
              <w:rPr/>
            </w:r>
          </w:p>
        </w:tc>
      </w:tr>
      <w:tr>
        <w:trPr>
          <w:trHeight w:val="348" w:hRule="atLeast"/>
        </w:trPr>
        <w:tc>
          <w:tcPr>
            <w:tcW w:w="1096"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Spacing"/>
              <w:widowControl w:val="false"/>
              <w:jc w:val="center"/>
              <w:rPr>
                <w:rFonts w:ascii="Times New Roman" w:hAnsi="Times New Roman"/>
                <w:b/>
                <w:b/>
                <w:bCs/>
                <w:sz w:val="24"/>
                <w:szCs w:val="24"/>
                <w:lang w:val="uk-UA"/>
              </w:rPr>
            </w:pPr>
            <w:r>
              <w:rPr>
                <w:rFonts w:ascii="Times New Roman" w:hAnsi="Times New Roman"/>
                <w:b/>
                <w:bCs/>
                <w:sz w:val="24"/>
                <w:szCs w:val="24"/>
                <w:lang w:val="uk-UA"/>
              </w:rPr>
            </w:r>
          </w:p>
        </w:tc>
        <w:tc>
          <w:tcPr>
            <w:tcW w:w="15002" w:type="dxa"/>
            <w:gridSpan w:val="9"/>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Spacing"/>
              <w:widowControl w:val="false"/>
              <w:jc w:val="center"/>
              <w:rPr>
                <w:rFonts w:ascii="Times New Roman" w:hAnsi="Times New Roman"/>
                <w:sz w:val="24"/>
                <w:szCs w:val="24"/>
                <w:lang w:val="uk-UA"/>
              </w:rPr>
            </w:pPr>
            <w:r>
              <w:rPr>
                <w:rFonts w:ascii="Times New Roman" w:hAnsi="Times New Roman"/>
                <w:b/>
                <w:bCs/>
                <w:sz w:val="24"/>
                <w:szCs w:val="24"/>
                <w:lang w:val="uk-UA"/>
              </w:rPr>
              <w:t>Організація роботи у сфері адміністративного забезпечення (господарська діяльність)</w:t>
            </w:r>
          </w:p>
        </w:tc>
        <w:tc>
          <w:tcPr>
            <w:tcW w:w="28" w:type="dxa"/>
            <w:tcBorders/>
          </w:tcPr>
          <w:p>
            <w:pPr>
              <w:pStyle w:val="Normal"/>
              <w:widowControl w:val="false"/>
              <w:spacing w:before="0" w:after="200"/>
              <w:rPr/>
            </w:pPr>
            <w:r>
              <w:rPr/>
            </w:r>
          </w:p>
        </w:tc>
      </w:tr>
      <w:tr>
        <w:trPr>
          <w:trHeight w:val="100" w:hRule="atLeast"/>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32</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rPr>
            </w:pPr>
            <w:r>
              <w:rPr>
                <w:rFonts w:eastAsia="Times New Roman" w:ascii="Times New Roman" w:hAnsi="Times New Roman"/>
                <w:sz w:val="24"/>
                <w:szCs w:val="24"/>
                <w:lang w:val="uk-UA"/>
              </w:rPr>
              <w:t>33</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 xml:space="preserve">Можливість використання </w:t>
            </w:r>
            <w:r>
              <w:rPr>
                <w:rFonts w:ascii="Times New Roman" w:hAnsi="Times New Roman"/>
                <w:sz w:val="24"/>
                <w:szCs w:val="24"/>
                <w:lang w:val="uk-UA"/>
              </w:rPr>
              <w:t>матеріальних</w:t>
            </w:r>
            <w:r>
              <w:rPr>
                <w:rFonts w:eastAsia="Times New Roman" w:ascii="Times New Roman" w:hAnsi="Times New Roman"/>
                <w:sz w:val="24"/>
                <w:szCs w:val="24"/>
                <w:lang w:val="uk-UA"/>
              </w:rPr>
              <w:t xml:space="preserve"> ресурсів у приватних інтересах</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rPr>
            </w:pPr>
            <w:r>
              <w:rPr>
                <w:rFonts w:eastAsia="Times New Roman" w:ascii="Times New Roman" w:hAnsi="Times New Roman"/>
                <w:sz w:val="24"/>
                <w:szCs w:val="24"/>
                <w:lang w:val="uk-UA"/>
              </w:rPr>
              <w:t>33.1 Впровадження додаткових контрольних заходів (фактичний огляд, документальна вибіркова перевірка) за використанням матеріальних цінностей за цільовим призначенням</w:t>
            </w:r>
          </w:p>
          <w:p>
            <w:pPr>
              <w:pStyle w:val="Normal"/>
              <w:widowControl w:val="false"/>
              <w:spacing w:lineRule="auto" w:line="240" w:before="0" w:after="0"/>
              <w:jc w:val="both"/>
              <w:rPr>
                <w:rFonts w:ascii="Times New Roman" w:hAnsi="Times New Roman" w:eastAsia="Times New Roman"/>
                <w:sz w:val="24"/>
                <w:szCs w:val="24"/>
                <w:lang w:val="uk-UA"/>
              </w:rPr>
            </w:pPr>
            <w:r>
              <w:rPr>
                <w:rFonts w:eastAsia="Times New Roman"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керівники ВОГ</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000000"/>
                <w:sz w:val="24"/>
                <w:szCs w:val="24"/>
                <w:shd w:fill="FFFFFF" w:val="clear"/>
                <w:lang w:val="uk-UA"/>
              </w:rPr>
              <w:t>30.04.2022</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 додаткових ресурсів</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eastAsia="Times New Roman"/>
                <w:sz w:val="24"/>
                <w:szCs w:val="24"/>
                <w:lang w:val="uk-UA"/>
              </w:rPr>
            </w:pPr>
            <w:r>
              <w:rPr>
                <w:rFonts w:eastAsia="Times New Roman" w:ascii="Times New Roman" w:hAnsi="Times New Roman"/>
                <w:color w:val="000000"/>
                <w:sz w:val="24"/>
                <w:szCs w:val="24"/>
                <w:lang w:val="uk-UA"/>
              </w:rPr>
              <w:t xml:space="preserve">Впроваджено позачергові контрольні заходи </w:t>
            </w:r>
            <w:r>
              <w:rPr>
                <w:rFonts w:eastAsia="Times New Roman" w:ascii="Times New Roman" w:hAnsi="Times New Roman"/>
                <w:sz w:val="24"/>
                <w:szCs w:val="24"/>
                <w:lang w:val="uk-UA"/>
              </w:rPr>
              <w:t>(фактичний огляд, документальна вибіркова перевірка) щодо наявності матеріальних цінностей значної вартості</w:t>
            </w:r>
          </w:p>
          <w:p>
            <w:pPr>
              <w:pStyle w:val="NoSpacing"/>
              <w:widowControl w:val="false"/>
              <w:jc w:val="both"/>
              <w:rPr>
                <w:rFonts w:ascii="Times New Roman" w:hAnsi="Times New Roman" w:eastAsia="Times New Roman"/>
                <w:sz w:val="24"/>
                <w:szCs w:val="24"/>
                <w:lang w:val="uk-UA"/>
              </w:rPr>
            </w:pPr>
            <w:r>
              <w:rPr>
                <w:rFonts w:eastAsia="Times New Roman" w:ascii="Times New Roman" w:hAnsi="Times New Roman"/>
                <w:sz w:val="24"/>
                <w:szCs w:val="24"/>
                <w:lang w:val="uk-UA"/>
              </w:rPr>
            </w:r>
          </w:p>
        </w:tc>
        <w:tc>
          <w:tcPr>
            <w:tcW w:w="28" w:type="dxa"/>
            <w:tcBorders/>
          </w:tcPr>
          <w:p>
            <w:pPr>
              <w:pStyle w:val="Normal"/>
              <w:widowControl w:val="false"/>
              <w:spacing w:before="0" w:after="200"/>
              <w:rPr/>
            </w:pPr>
            <w:r>
              <w:rPr/>
            </w:r>
          </w:p>
        </w:tc>
      </w:tr>
      <w:tr>
        <w:trPr>
          <w:trHeight w:val="100"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eastAsia="Times New Roman" w:ascii="Times New Roman" w:hAnsi="Times New Roman"/>
                <w:sz w:val="24"/>
                <w:szCs w:val="24"/>
                <w:lang w:val="uk-UA"/>
              </w:rPr>
              <w:t>33.2 Анкетування працівників Головного управління для отримання необхідної інформації про потребу та цільове використання матеріальних цінностей</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керівники самостійних структурних підрозділів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000000"/>
                <w:sz w:val="24"/>
                <w:szCs w:val="24"/>
                <w:shd w:fill="FFFFFF" w:val="clear"/>
                <w:lang w:val="uk-UA"/>
              </w:rPr>
            </w:pPr>
            <w:r>
              <w:rPr>
                <w:rFonts w:ascii="Times New Roman" w:hAnsi="Times New Roman"/>
                <w:color w:val="000000"/>
                <w:sz w:val="24"/>
                <w:szCs w:val="24"/>
                <w:shd w:fill="FFFFFF" w:val="clear"/>
                <w:lang w:val="uk-UA"/>
              </w:rPr>
              <w:t>щопівроку</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000000"/>
                <w:sz w:val="24"/>
                <w:szCs w:val="24"/>
                <w:shd w:fill="FFFFFF" w:val="clear"/>
                <w:lang w:val="uk-UA"/>
              </w:rPr>
              <w:t>(за потреби)</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eastAsia="Times New Roman" w:ascii="Times New Roman" w:hAnsi="Times New Roman"/>
                <w:color w:val="000000"/>
                <w:sz w:val="24"/>
                <w:szCs w:val="24"/>
                <w:lang w:val="uk-UA"/>
              </w:rPr>
              <w:t xml:space="preserve">Проведено </w:t>
            </w:r>
            <w:r>
              <w:rPr>
                <w:rFonts w:eastAsia="Times New Roman" w:ascii="Times New Roman" w:hAnsi="Times New Roman"/>
                <w:sz w:val="24"/>
                <w:szCs w:val="24"/>
                <w:lang w:val="uk-UA"/>
              </w:rPr>
              <w:t>анкетування працівників для отримання необхідної інформації про потребу та використання матеріальних цінностей. За результатами анкетування, підготовлено та подано керівництву органу відповідні пропозиції</w:t>
            </w:r>
            <w:r>
              <w:rPr>
                <w:rFonts w:ascii="Times New Roman" w:hAnsi="Times New Roman"/>
                <w:sz w:val="24"/>
                <w:szCs w:val="24"/>
                <w:lang w:val="uk-UA"/>
              </w:rPr>
              <w:t xml:space="preserve"> (за необхідності)</w:t>
            </w:r>
          </w:p>
        </w:tc>
        <w:tc>
          <w:tcPr>
            <w:tcW w:w="28" w:type="dxa"/>
            <w:tcBorders/>
          </w:tcPr>
          <w:p>
            <w:pPr>
              <w:pStyle w:val="Normal"/>
              <w:widowControl w:val="false"/>
              <w:spacing w:before="0" w:after="200"/>
              <w:rPr/>
            </w:pPr>
            <w:r>
              <w:rPr/>
            </w:r>
          </w:p>
        </w:tc>
      </w:tr>
      <w:tr>
        <w:trPr>
          <w:trHeight w:val="100"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 xml:space="preserve">33.3 Надання пропозицій щодо </w:t>
            </w:r>
            <w:r>
              <w:rPr>
                <w:rFonts w:eastAsia="Times New Roman" w:ascii="Times New Roman" w:hAnsi="Times New Roman"/>
                <w:sz w:val="24"/>
                <w:szCs w:val="24"/>
                <w:lang w:val="uk-UA"/>
              </w:rPr>
              <w:t>розроблення форм з обґрунтуванням потреб у матеріальних цінностях та процедури перевірки їх достовірності</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керівники самостійних структурних підрозділів</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000000"/>
                <w:sz w:val="24"/>
                <w:szCs w:val="24"/>
                <w:shd w:fill="FFFFFF" w:val="clear"/>
                <w:lang w:val="uk-UA"/>
              </w:rPr>
              <w:t>31.03.2022</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 xml:space="preserve">Розроблено відповідні форми </w:t>
            </w:r>
            <w:r>
              <w:rPr>
                <w:rFonts w:eastAsia="Times New Roman" w:ascii="Times New Roman" w:hAnsi="Times New Roman"/>
                <w:sz w:val="24"/>
                <w:szCs w:val="24"/>
                <w:lang w:val="uk-UA"/>
              </w:rPr>
              <w:t xml:space="preserve"> та процедури перевірки їх достовірності</w:t>
            </w:r>
          </w:p>
        </w:tc>
        <w:tc>
          <w:tcPr>
            <w:tcW w:w="28" w:type="dxa"/>
            <w:tcBorders/>
          </w:tcPr>
          <w:p>
            <w:pPr>
              <w:pStyle w:val="Normal"/>
              <w:widowControl w:val="false"/>
              <w:spacing w:before="0" w:after="200"/>
              <w:rPr/>
            </w:pPr>
            <w:r>
              <w:rPr/>
            </w:r>
          </w:p>
        </w:tc>
      </w:tr>
      <w:tr>
        <w:trPr>
          <w:trHeight w:val="100" w:hRule="atLeast"/>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33</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34</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Ймовірність прийняття необґрунтованого рішення про списання матеріальних ресурсів</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34.1 Здійснення вибіркових перевірок законності підстав та обґрунтувань для списання матеріальних цінностей</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Неділько К.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color w:val="000000"/>
                <w:sz w:val="24"/>
                <w:szCs w:val="24"/>
                <w:lang w:val="uk-UA" w:eastAsia="ru-RU"/>
              </w:rPr>
              <w:t>керівники ВОГ</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протягом</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2021–2023 років</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(у разі надходження документів щодо списання матеріальних цінностей)</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eastAsia="Times New Roman" w:ascii="Times New Roman" w:hAnsi="Times New Roman"/>
                <w:sz w:val="24"/>
                <w:szCs w:val="24"/>
                <w:lang w:val="uk-UA"/>
              </w:rPr>
              <w:t>За результатами перевірки, підготовлено та подано керівництву Головного управління відповідні пропозиції (за необхідності)</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28" w:type="dxa"/>
            <w:tcBorders/>
          </w:tcPr>
          <w:p>
            <w:pPr>
              <w:pStyle w:val="Normal"/>
              <w:widowControl w:val="false"/>
              <w:spacing w:before="0" w:after="200"/>
              <w:rPr/>
            </w:pPr>
            <w:r>
              <w:rPr/>
            </w:r>
          </w:p>
        </w:tc>
      </w:tr>
      <w:tr>
        <w:trPr>
          <w:trHeight w:val="100" w:hRule="atLeast"/>
        </w:trPr>
        <w:tc>
          <w:tcPr>
            <w:tcW w:w="16098" w:type="dxa"/>
            <w:gridSpan w:val="11"/>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Публічні закупівлі</w:t>
            </w:r>
          </w:p>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(зацікавлені структурні підрозділи, члени тендерного комітету та уповноважені особи з питань публічних закупівель (з 01.01.2022)</w:t>
            </w:r>
          </w:p>
          <w:p>
            <w:pPr>
              <w:pStyle w:val="Normal"/>
              <w:widowControl w:val="false"/>
              <w:spacing w:lineRule="auto" w:line="240" w:before="0" w:after="0"/>
              <w:jc w:val="center"/>
              <w:rPr>
                <w:rFonts w:ascii="Times New Roman" w:hAnsi="Times New Roman"/>
                <w:b/>
                <w:b/>
                <w:sz w:val="24"/>
                <w:szCs w:val="24"/>
                <w:lang w:val="uk-UA"/>
              </w:rPr>
            </w:pPr>
            <w:r>
              <w:rPr>
                <w:rFonts w:ascii="Times New Roman" w:hAnsi="Times New Roman"/>
                <w:b/>
                <w:sz w:val="24"/>
                <w:szCs w:val="24"/>
                <w:lang w:val="uk-UA"/>
              </w:rPr>
              <w:t>(далі – посадові особи))</w:t>
            </w:r>
          </w:p>
        </w:tc>
        <w:tc>
          <w:tcPr>
            <w:tcW w:w="28" w:type="dxa"/>
            <w:tcBorders/>
          </w:tcPr>
          <w:p>
            <w:pPr>
              <w:pStyle w:val="Normal"/>
              <w:widowControl w:val="false"/>
              <w:spacing w:before="0" w:after="200"/>
              <w:rPr/>
            </w:pPr>
            <w:r>
              <w:rPr/>
            </w:r>
          </w:p>
        </w:tc>
      </w:tr>
      <w:tr>
        <w:trPr>
          <w:trHeight w:val="3564" w:hRule="atLeast"/>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34</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35</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Ймовірність підготовки умов закупівлі, орієнтованих на конкретного постачальника, з метою задоволення приватних інтересів (у тому числі отримання неправомірної вигоди)</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35.1 Визначення регламенту проведення аналізу ринку з метою оцінювання, наскільки визначені замовником в умовах закупівлі характеристики товару, роботи чи послуги є специфічними чи спеціальними, порівняно з іншими закупівлями цього замовника, а у разі відсутності таких – із закупівлями інших замовників у галузі</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color w:val="000000"/>
                <w:sz w:val="24"/>
                <w:szCs w:val="24"/>
                <w:lang w:val="uk-UA" w:eastAsia="ru-RU"/>
              </w:rPr>
              <w:t>Тодоров В. С., Тарасова К. С.</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31.10.2022</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Визначено регламент проведення аналізу ринку. Проведено аналіз ринку, який використано під час організації процедури закупівель</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28" w:type="dxa"/>
            <w:tcBorders/>
          </w:tcPr>
          <w:p>
            <w:pPr>
              <w:pStyle w:val="Normal"/>
              <w:widowControl w:val="false"/>
              <w:spacing w:before="0" w:after="200"/>
              <w:rPr/>
            </w:pPr>
            <w:r>
              <w:rPr/>
            </w:r>
          </w:p>
        </w:tc>
      </w:tr>
      <w:tr>
        <w:trPr>
          <w:trHeight w:val="100"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eastAsia="Times New Roman"/>
                <w:sz w:val="24"/>
                <w:szCs w:val="24"/>
                <w:lang w:val="uk-UA"/>
              </w:rPr>
            </w:pPr>
            <w:r>
              <w:rPr>
                <w:rFonts w:eastAsia="Times New Roman"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eastAsia="Times New Roman"/>
                <w:sz w:val="24"/>
                <w:szCs w:val="24"/>
                <w:lang w:val="uk-UA"/>
              </w:rPr>
            </w:pPr>
            <w:r>
              <w:rPr>
                <w:rFonts w:eastAsia="Times New Roman"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35.2 Залучення уповноваженого підрозділу (уповноваженої особи) з питань запобігання та виявлення корупції до аналізу умов закупівлі</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Ткаченко         Л.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color w:val="000000"/>
                <w:sz w:val="24"/>
                <w:szCs w:val="24"/>
                <w:lang w:val="uk-UA" w:eastAsia="ru-RU"/>
              </w:rPr>
              <w:t>Кудінова І. 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постійно</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(перед початком проведення закупівлі)</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Забезпечено залучення до аналізу уповноваженого підрозділу (уповноваженої особи) з питань запобігання та виявлення корупції.  Проведено аналіз, за результатами якого надані рекомендації (за необхідності)</w:t>
            </w:r>
          </w:p>
        </w:tc>
        <w:tc>
          <w:tcPr>
            <w:tcW w:w="28" w:type="dxa"/>
            <w:tcBorders/>
          </w:tcPr>
          <w:p>
            <w:pPr>
              <w:pStyle w:val="Normal"/>
              <w:widowControl w:val="false"/>
              <w:spacing w:before="0" w:after="200"/>
              <w:rPr/>
            </w:pPr>
            <w:r>
              <w:rPr/>
            </w:r>
          </w:p>
        </w:tc>
      </w:tr>
      <w:tr>
        <w:trPr>
          <w:trHeight w:val="100" w:hRule="atLeast"/>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35</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36</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завищення очікуваної вартості та обсягів закупівлі</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sz w:val="24"/>
                <w:szCs w:val="24"/>
                <w:shd w:fill="auto" w:val="clear"/>
                <w:lang w:val="uk-UA"/>
              </w:rPr>
              <w:t>36.1 Використання аналітичних модулів для моніторингу цін (зокрема, bi.prozorro.org, clarity-project.info, acm-ua.org)</w:t>
            </w:r>
          </w:p>
          <w:p>
            <w:pPr>
              <w:pStyle w:val="Normal"/>
              <w:widowControl w:val="false"/>
              <w:spacing w:lineRule="auto" w:line="240" w:before="0" w:after="0"/>
              <w:jc w:val="both"/>
              <w:rPr>
                <w:rFonts w:ascii="Times New Roman" w:hAnsi="Times New Roman"/>
                <w:sz w:val="24"/>
                <w:szCs w:val="24"/>
                <w:highlight w:val="none"/>
                <w:shd w:fill="auto" w:val="clear"/>
                <w:lang w:val="uk-UA"/>
              </w:rPr>
            </w:pPr>
            <w:r>
              <w:rPr>
                <w:rFonts w:ascii="Times New Roman" w:hAnsi="Times New Roman"/>
                <w:sz w:val="24"/>
                <w:szCs w:val="24"/>
                <w:shd w:fill="auto" w:val="clear"/>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eastAsia="Times New Roman" w:ascii="Times New Roman" w:hAnsi="Times New Roman"/>
                <w:color w:val="000000"/>
                <w:sz w:val="24"/>
                <w:szCs w:val="24"/>
                <w:shd w:fill="auto" w:val="clear"/>
                <w:lang w:val="uk-UA" w:eastAsia="ru-RU"/>
              </w:rPr>
              <w:t>Уповноважена особа,</w:t>
            </w:r>
          </w:p>
          <w:p>
            <w:pPr>
              <w:pStyle w:val="Normal"/>
              <w:widowControl w:val="false"/>
              <w:spacing w:lineRule="auto" w:line="240" w:before="0" w:after="0"/>
              <w:jc w:val="both"/>
              <w:rPr>
                <w:highlight w:val="none"/>
                <w:shd w:fill="auto" w:val="clear"/>
              </w:rPr>
            </w:pPr>
            <w:r>
              <w:rPr>
                <w:rFonts w:eastAsia="Times New Roman" w:ascii="Times New Roman" w:hAnsi="Times New Roman"/>
                <w:color w:val="000000"/>
                <w:sz w:val="24"/>
                <w:szCs w:val="24"/>
                <w:shd w:fill="auto" w:val="clear"/>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постійно</w:t>
            </w:r>
          </w:p>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(під час проведення закупівель, за необхідності)</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rPr>
                <w:rFonts w:ascii="Times New Roman" w:hAnsi="Times New Roman"/>
                <w:sz w:val="24"/>
                <w:szCs w:val="24"/>
                <w:lang w:val="uk-UA"/>
              </w:rPr>
            </w:pPr>
            <w:r>
              <w:rPr>
                <w:rFonts w:eastAsia="Times New Roman" w:ascii="Times New Roman" w:hAnsi="Times New Roman"/>
                <w:sz w:val="24"/>
                <w:szCs w:val="24"/>
                <w:lang w:val="uk-UA"/>
              </w:rPr>
              <w:t>Забезпечено використання аналітичних модулів для моніторингу цін</w:t>
            </w:r>
          </w:p>
        </w:tc>
        <w:tc>
          <w:tcPr>
            <w:tcW w:w="28" w:type="dxa"/>
            <w:tcBorders/>
          </w:tcPr>
          <w:p>
            <w:pPr>
              <w:pStyle w:val="Normal"/>
              <w:widowControl w:val="false"/>
              <w:spacing w:before="0" w:after="200"/>
              <w:rPr/>
            </w:pPr>
            <w:r>
              <w:rPr/>
            </w:r>
          </w:p>
        </w:tc>
      </w:tr>
      <w:tr>
        <w:trPr>
          <w:trHeight w:val="100"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eastAsia="Times New Roman"/>
                <w:sz w:val="24"/>
                <w:szCs w:val="24"/>
                <w:lang w:val="uk-UA"/>
              </w:rPr>
            </w:pPr>
            <w:r>
              <w:rPr>
                <w:rFonts w:eastAsia="Times New Roman"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eastAsia="Times New Roman"/>
                <w:sz w:val="24"/>
                <w:szCs w:val="24"/>
                <w:lang w:val="uk-UA"/>
              </w:rPr>
            </w:pPr>
            <w:r>
              <w:rPr>
                <w:rFonts w:eastAsia="Times New Roman"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36.2 Використання Примірної методики визначення очікуваної вартості предмета закупівлі, затвердженої наказом Міністерства розвитку економіки, торгівлі та сільського господарства України від 18.02.2020 № 275</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Уповноважена особа,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постійно</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(під час проведення закупівель)</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eastAsia="Times New Roman"/>
                <w:sz w:val="24"/>
                <w:szCs w:val="24"/>
                <w:lang w:val="uk-UA"/>
              </w:rPr>
            </w:pPr>
            <w:r>
              <w:rPr>
                <w:rFonts w:eastAsia="Times New Roman" w:ascii="Times New Roman" w:hAnsi="Times New Roman"/>
                <w:sz w:val="24"/>
                <w:szCs w:val="24"/>
                <w:lang w:val="uk-UA"/>
              </w:rPr>
              <w:t>Забезпечено використання Примірної методики визначення очікуваної вартості предмета закупівлі, затвердженої наказом Міністерства розвитку економіки, торгівлі та сільського господарства України від 18 лютого                       2020 року № 275</w:t>
            </w:r>
          </w:p>
        </w:tc>
        <w:tc>
          <w:tcPr>
            <w:tcW w:w="28" w:type="dxa"/>
            <w:tcBorders/>
          </w:tcPr>
          <w:p>
            <w:pPr>
              <w:pStyle w:val="Normal"/>
              <w:widowControl w:val="false"/>
              <w:spacing w:before="0" w:after="200"/>
              <w:rPr/>
            </w:pPr>
            <w:r>
              <w:rPr/>
            </w:r>
          </w:p>
        </w:tc>
      </w:tr>
      <w:tr>
        <w:trPr>
          <w:trHeight w:val="100"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eastAsia="Times New Roman"/>
                <w:sz w:val="24"/>
                <w:szCs w:val="24"/>
                <w:lang w:val="uk-UA"/>
              </w:rPr>
            </w:pPr>
            <w:r>
              <w:rPr>
                <w:rFonts w:eastAsia="Times New Roman"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eastAsia="Times New Roman"/>
                <w:sz w:val="24"/>
                <w:szCs w:val="24"/>
                <w:lang w:val="uk-UA"/>
              </w:rPr>
            </w:pPr>
            <w:r>
              <w:rPr>
                <w:rFonts w:eastAsia="Times New Roman"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36.3 Проведення замовником попередніх ринкових консультацій при плануванні закупівель та організації їх проведення для аналізу ринку, у тому числі отримання рекомендацій та інформації від суб’єктів господарювання відповідно до ч. 4 ст. 4 Закону України “Про публічні закупівлі”</w:t>
            </w:r>
            <w:bookmarkStart w:id="1" w:name="_GoBack"/>
            <w:bookmarkEnd w:id="1"/>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Уповноважена особа,</w:t>
            </w:r>
          </w:p>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постійно</w:t>
            </w:r>
          </w:p>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(перед початком формування потреби  проведення закупівель, за необхідності)</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Замовником проведено попередні ринкові консультації при плануванні закупівель та їх організації (за необхідності)</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28" w:type="dxa"/>
            <w:tcBorders/>
          </w:tcPr>
          <w:p>
            <w:pPr>
              <w:pStyle w:val="Normal"/>
              <w:widowControl w:val="false"/>
              <w:spacing w:before="0" w:after="200"/>
              <w:rPr/>
            </w:pPr>
            <w:r>
              <w:rPr/>
            </w:r>
          </w:p>
        </w:tc>
      </w:tr>
      <w:tr>
        <w:trPr>
          <w:trHeight w:val="100" w:hRule="atLeast"/>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36</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37</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встановлення дискримінаційних умов тендерної документації та обмеження конкуренції з метою задоволення приватних інтересів (у тому числі отримання неправомірної вигоди)</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37.1 Використання Конструктора та бібліотеки примірних специфікацій</w:t>
            </w:r>
            <w:r>
              <w:rPr>
                <w:rFonts w:ascii="Times New Roman" w:hAnsi="Times New Roman"/>
                <w:sz w:val="24"/>
                <w:szCs w:val="24"/>
              </w:rPr>
              <w:t xml:space="preserve"> (https://specifications.prozorro.org/specifications?page=1&amp;count=10</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color w:val="000000"/>
                <w:sz w:val="24"/>
                <w:szCs w:val="24"/>
                <w:lang w:val="uk-UA" w:eastAsia="ru-RU"/>
              </w:rPr>
            </w:pPr>
            <w:r>
              <w:rPr>
                <w:rFonts w:eastAsia="Times New Roman" w:ascii="Times New Roman" w:hAnsi="Times New Roman"/>
                <w:color w:val="000000"/>
                <w:sz w:val="24"/>
                <w:szCs w:val="24"/>
                <w:lang w:val="uk-UA" w:eastAsia="ru-RU"/>
              </w:rPr>
              <w:t>Саєнко О.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постійно</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(перед початком формування потреби у закупівлі)</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 додаткових ресурсів</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Забезпечено використання Конструктора та бібліотеки примірних специфікацій</w:t>
            </w:r>
            <w:r>
              <w:rPr>
                <w:rFonts w:ascii="Times New Roman" w:hAnsi="Times New Roman"/>
                <w:sz w:val="24"/>
                <w:szCs w:val="24"/>
              </w:rPr>
              <w:t xml:space="preserve"> (https://specifications.prozorro.org/specifications?page=1&amp;count=10</w:t>
            </w:r>
            <w:r>
              <w:rPr>
                <w:rFonts w:ascii="Times New Roman" w:hAnsi="Times New Roman"/>
                <w:sz w:val="24"/>
                <w:szCs w:val="24"/>
                <w:lang w:val="uk-UA"/>
              </w:rPr>
              <w:t>)</w:t>
            </w:r>
          </w:p>
        </w:tc>
        <w:tc>
          <w:tcPr>
            <w:tcW w:w="28" w:type="dxa"/>
            <w:tcBorders/>
          </w:tcPr>
          <w:p>
            <w:pPr>
              <w:pStyle w:val="Normal"/>
              <w:widowControl w:val="false"/>
              <w:spacing w:before="0" w:after="200"/>
              <w:rPr/>
            </w:pPr>
            <w:r>
              <w:rPr/>
            </w:r>
          </w:p>
        </w:tc>
      </w:tr>
      <w:tr>
        <w:trPr>
          <w:trHeight w:val="100"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37.2 Проведення аналізу ринку з метою оцінювання, наскільки заявлені замовником в тендерній документації характеристики товару, роботи чи послуги є специфічними чи спеціальними, порівняно з іншими закупівлями цього замовника, а у разі відсутності таких – з іншими тендерами в галузі</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Уповноважена особа,</w:t>
            </w:r>
          </w:p>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керівники самостійних структурних підрозділів</w:t>
            </w:r>
          </w:p>
          <w:p>
            <w:pPr>
              <w:pStyle w:val="Normal"/>
              <w:widowControl w:val="false"/>
              <w:spacing w:lineRule="auto" w:line="240" w:before="0" w:after="0"/>
              <w:jc w:val="both"/>
              <w:rPr>
                <w:rFonts w:ascii="Times New Roman" w:hAnsi="Times New Roman" w:eastAsia="Times New Roman"/>
                <w:sz w:val="24"/>
                <w:szCs w:val="24"/>
                <w:highlight w:val="none"/>
                <w:shd w:fill="auto" w:val="clear"/>
                <w:lang w:val="uk-UA" w:eastAsia="ru-RU"/>
              </w:rPr>
            </w:pPr>
            <w:r>
              <w:rPr>
                <w:rFonts w:eastAsia="Times New Roman" w:ascii="Times New Roman" w:hAnsi="Times New Roman"/>
                <w:sz w:val="24"/>
                <w:szCs w:val="24"/>
                <w:shd w:fill="auto" w:val="clear"/>
                <w:lang w:val="uk-UA" w:eastAsia="ru-RU"/>
              </w:rPr>
            </w:r>
          </w:p>
          <w:p>
            <w:pPr>
              <w:pStyle w:val="Normal"/>
              <w:widowControl w:val="false"/>
              <w:spacing w:lineRule="auto" w:line="240" w:before="0" w:after="0"/>
              <w:jc w:val="both"/>
              <w:rPr>
                <w:rFonts w:ascii="Times New Roman" w:hAnsi="Times New Roman" w:eastAsia="Times New Roman"/>
                <w:sz w:val="24"/>
                <w:szCs w:val="24"/>
                <w:highlight w:val="none"/>
                <w:shd w:fill="auto" w:val="clear"/>
                <w:lang w:val="uk-UA" w:eastAsia="ru-RU"/>
              </w:rPr>
            </w:pPr>
            <w:r>
              <w:rPr>
                <w:rFonts w:eastAsia="Times New Roman" w:ascii="Times New Roman" w:hAnsi="Times New Roman"/>
                <w:sz w:val="24"/>
                <w:szCs w:val="24"/>
                <w:shd w:fill="auto" w:val="clear"/>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постійно</w:t>
            </w:r>
          </w:p>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(перед початком формування потреби у закупівлі, за необхідності)</w:t>
            </w:r>
          </w:p>
          <w:p>
            <w:pPr>
              <w:pStyle w:val="Normal"/>
              <w:widowControl w:val="false"/>
              <w:spacing w:lineRule="auto" w:line="240" w:before="0" w:after="0"/>
              <w:jc w:val="both"/>
              <w:rPr>
                <w:rFonts w:ascii="Times New Roman" w:hAnsi="Times New Roman"/>
                <w:color w:val="191919"/>
                <w:sz w:val="24"/>
                <w:szCs w:val="24"/>
                <w:highlight w:val="none"/>
                <w:shd w:fill="auto" w:val="clear"/>
                <w:lang w:val="uk-UA"/>
              </w:rPr>
            </w:pPr>
            <w:r>
              <w:rPr>
                <w:rFonts w:ascii="Times New Roman" w:hAnsi="Times New Roman"/>
                <w:color w:val="191919"/>
                <w:sz w:val="24"/>
                <w:szCs w:val="24"/>
                <w:shd w:fill="auto" w:val="clear"/>
                <w:lang w:val="uk-UA"/>
              </w:rPr>
            </w:r>
          </w:p>
          <w:p>
            <w:pPr>
              <w:pStyle w:val="Normal"/>
              <w:widowControl w:val="false"/>
              <w:spacing w:lineRule="auto" w:line="240" w:before="0" w:after="0"/>
              <w:jc w:val="both"/>
              <w:rPr>
                <w:rFonts w:ascii="Times New Roman" w:hAnsi="Times New Roman"/>
                <w:color w:val="191919"/>
                <w:sz w:val="24"/>
                <w:szCs w:val="24"/>
                <w:highlight w:val="none"/>
                <w:shd w:fill="auto" w:val="clear"/>
                <w:lang w:val="uk-UA"/>
              </w:rPr>
            </w:pPr>
            <w:r>
              <w:rPr>
                <w:rFonts w:ascii="Times New Roman" w:hAnsi="Times New Roman"/>
                <w:color w:val="191919"/>
                <w:sz w:val="24"/>
                <w:szCs w:val="24"/>
                <w:shd w:fill="auto" w:val="clear"/>
                <w:lang w:val="uk-UA"/>
              </w:rPr>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не потребує додаткових ресурсів</w:t>
            </w:r>
          </w:p>
          <w:p>
            <w:pPr>
              <w:pStyle w:val="Normal"/>
              <w:widowControl w:val="false"/>
              <w:spacing w:lineRule="auto" w:line="240" w:before="0" w:after="0"/>
              <w:jc w:val="both"/>
              <w:rPr>
                <w:rFonts w:ascii="Times New Roman" w:hAnsi="Times New Roman"/>
                <w:sz w:val="24"/>
                <w:szCs w:val="24"/>
                <w:highlight w:val="none"/>
                <w:shd w:fill="auto" w:val="clear"/>
                <w:lang w:val="uk-UA"/>
              </w:rPr>
            </w:pPr>
            <w:r>
              <w:rPr>
                <w:rFonts w:ascii="Times New Roman" w:hAnsi="Times New Roman"/>
                <w:sz w:val="24"/>
                <w:szCs w:val="24"/>
                <w:shd w:fill="auto" w:val="clear"/>
                <w:lang w:val="uk-UA"/>
              </w:rPr>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Проведено аналіз ринку, який використано під час організації процедури закупівель</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28" w:type="dxa"/>
            <w:tcBorders/>
          </w:tcPr>
          <w:p>
            <w:pPr>
              <w:pStyle w:val="Normal"/>
              <w:widowControl w:val="false"/>
              <w:spacing w:before="0" w:after="200"/>
              <w:rPr/>
            </w:pPr>
            <w:r>
              <w:rPr/>
            </w:r>
          </w:p>
        </w:tc>
      </w:tr>
      <w:tr>
        <w:trPr>
          <w:trHeight w:val="100"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37.3 Врахування практики Антимонопольного комітету України стосовно інших тендерів замовника з метою встановлення вимог, які вже визнавалися дискримінаційними, з метою уникнення їх застосування надалі</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Уповноважена особа,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постійно</w:t>
            </w:r>
          </w:p>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(перед початком формування тендерної документації)</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Врахована практика Антимонопольного комітету України</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28" w:type="dxa"/>
            <w:tcBorders/>
          </w:tcPr>
          <w:p>
            <w:pPr>
              <w:pStyle w:val="Normal"/>
              <w:widowControl w:val="false"/>
              <w:spacing w:before="0" w:after="200"/>
              <w:rPr/>
            </w:pPr>
            <w:r>
              <w:rPr/>
            </w:r>
          </w:p>
        </w:tc>
      </w:tr>
      <w:tr>
        <w:trPr>
          <w:trHeight w:val="100" w:hRule="atLeast"/>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37</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38</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вимагання паперових документів у складі тендерної пропозиції/пропозиції та зразків товару (продукції)</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38.1 Проведення навчань (тренінгів) для посадових осіб замовника щодо роз’яснення прямої заборони замовникам вимагати від учасників надання зразків товару (продукції), а також подання у паперовому вигляді інформації, поданої ними під час проведення процедури закупівлі/спрощеної закупівлі</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Тодоров В.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Неділько К.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протягом 2021–2023 років,  але не рідше раз на рік</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Відсутність фактів вимагання паперових документів та зразків товару. Відсутність обгрунтованих скарг учасників</w:t>
            </w:r>
          </w:p>
          <w:p>
            <w:pPr>
              <w:pStyle w:val="Normal"/>
              <w:widowControl w:val="false"/>
              <w:jc w:val="both"/>
              <w:rPr>
                <w:lang w:val="uk-UA"/>
              </w:rPr>
            </w:pPr>
            <w:r>
              <w:rPr>
                <w:lang w:val="uk-UA"/>
              </w:rPr>
            </w:r>
          </w:p>
          <w:p>
            <w:pPr>
              <w:pStyle w:val="Normal"/>
              <w:widowControl w:val="false"/>
              <w:jc w:val="both"/>
              <w:rPr>
                <w:lang w:val="uk-UA"/>
              </w:rPr>
            </w:pPr>
            <w:r>
              <w:rPr>
                <w:lang w:val="uk-UA"/>
              </w:rPr>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28" w:type="dxa"/>
            <w:tcBorders/>
          </w:tcPr>
          <w:p>
            <w:pPr>
              <w:pStyle w:val="Normal"/>
              <w:widowControl w:val="false"/>
              <w:spacing w:before="0" w:after="200"/>
              <w:rPr/>
            </w:pPr>
            <w:r>
              <w:rPr/>
            </w:r>
          </w:p>
        </w:tc>
      </w:tr>
      <w:tr>
        <w:trPr>
          <w:trHeight w:val="100"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38.2</w:t>
            </w:r>
            <w:r>
              <w:rPr/>
              <w:t xml:space="preserve"> </w:t>
            </w:r>
            <w:r>
              <w:rPr>
                <w:rFonts w:ascii="Times New Roman" w:hAnsi="Times New Roman"/>
                <w:sz w:val="24"/>
                <w:szCs w:val="24"/>
                <w:lang w:val="uk-UA"/>
              </w:rPr>
              <w:t>Перегляд розпорядчих актів про організацію закупівель у Головному управлінні у разі змін законодавства у сфері публічних закупівель (за необхідності)</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протягом 2021–2023 років (у разі потреби)</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Внесено зміни до  розпорядчих актів про організацію закупівель у Головному управлінні (за необхідності)</w:t>
            </w:r>
          </w:p>
        </w:tc>
        <w:tc>
          <w:tcPr>
            <w:tcW w:w="28" w:type="dxa"/>
            <w:tcBorders/>
          </w:tcPr>
          <w:p>
            <w:pPr>
              <w:pStyle w:val="Normal"/>
              <w:widowControl w:val="false"/>
              <w:spacing w:before="0" w:after="200"/>
              <w:rPr/>
            </w:pPr>
            <w:r>
              <w:rPr/>
            </w:r>
          </w:p>
        </w:tc>
      </w:tr>
      <w:tr>
        <w:trPr>
          <w:trHeight w:val="1793" w:hRule="atLeast"/>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38</w:t>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39</w:t>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Ймовірність недопостачання товарів (робіт/послуг), приймання виконання, що не відповідає умовам договору, тощо</w:t>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t>середня</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39.1 Впровадження процедури візування безпосереднім керівником матеріально-відповідальної особи документів про виконання умов договору</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керівники самостійних структурних підрозділів</w:t>
            </w:r>
          </w:p>
          <w:p>
            <w:pPr>
              <w:pStyle w:val="Normal"/>
              <w:widowControl w:val="false"/>
              <w:spacing w:lineRule="auto" w:line="240" w:before="0" w:after="0"/>
              <w:jc w:val="center"/>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p>
            <w:pPr>
              <w:pStyle w:val="Normal"/>
              <w:widowControl w:val="false"/>
              <w:spacing w:lineRule="auto" w:line="240" w:before="0" w:after="0"/>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протягом 2021–2023 років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 xml:space="preserve">(перед підписанням </w:t>
            </w:r>
            <w:r>
              <w:rPr>
                <w:rFonts w:ascii="Times New Roman" w:hAnsi="Times New Roman"/>
                <w:sz w:val="24"/>
                <w:szCs w:val="24"/>
                <w:lang w:val="uk-UA"/>
              </w:rPr>
              <w:t>матеріально-відповідальною особою документів про виконання умов договору</w:t>
            </w:r>
            <w:r>
              <w:rPr>
                <w:rFonts w:eastAsia="Times New Roman" w:ascii="Times New Roman" w:hAnsi="Times New Roman"/>
                <w:sz w:val="24"/>
                <w:szCs w:val="24"/>
                <w:lang w:val="uk-UA" w:eastAsia="ru-RU"/>
              </w:rPr>
              <w:t>)</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Впроваджено процедуру візування</w:t>
            </w:r>
          </w:p>
        </w:tc>
        <w:tc>
          <w:tcPr>
            <w:tcW w:w="28" w:type="dxa"/>
            <w:tcBorders/>
          </w:tcPr>
          <w:p>
            <w:pPr>
              <w:pStyle w:val="Normal"/>
              <w:widowControl w:val="false"/>
              <w:spacing w:before="0" w:after="200"/>
              <w:rPr/>
            </w:pPr>
            <w:r>
              <w:rPr/>
            </w:r>
          </w:p>
        </w:tc>
      </w:tr>
      <w:tr>
        <w:trPr>
          <w:trHeight w:val="1793" w:hRule="atLeast"/>
        </w:trPr>
        <w:tc>
          <w:tcPr>
            <w:tcW w:w="527"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2834"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135"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rPr>
            </w:pPr>
            <w:r>
              <w:rPr>
                <w:rFonts w:ascii="Times New Roman" w:hAnsi="Times New Roman"/>
                <w:sz w:val="24"/>
                <w:szCs w:val="24"/>
                <w:lang w:val="uk-UA"/>
              </w:rPr>
              <w:t>39.2 Проведення внутрішнього аудиту щодо дотримання вимог укладених договорів стосовно своєчасності та повноти постачання товарів (робіт/послуг)</w:t>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Неділько К. М.</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t>31.12.2023</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color w:val="191919"/>
                <w:sz w:val="24"/>
                <w:szCs w:val="24"/>
                <w:shd w:fill="FFFFFF" w:val="clear"/>
                <w:lang w:val="uk-UA"/>
              </w:rPr>
            </w:pPr>
            <w:r>
              <w:rPr>
                <w:rFonts w:ascii="Times New Roman" w:hAnsi="Times New Roman"/>
                <w:color w:val="191919"/>
                <w:sz w:val="24"/>
                <w:szCs w:val="24"/>
                <w:shd w:fill="FFFFFF" w:val="clear"/>
                <w:lang w:val="uk-UA"/>
              </w:rPr>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Проведено внутрішній аудит. Здійснено документування та реалізацію результатів внутрішнього аудиту відповідно до інструкції про здійснення внутрішнього аудиту в Пенсійному фонді України та його органах, затвердженого постановою правління Пенсійного фонду України від 30.07.2021 №23-1</w:t>
            </w:r>
          </w:p>
        </w:tc>
        <w:tc>
          <w:tcPr>
            <w:tcW w:w="28" w:type="dxa"/>
            <w:tcBorders/>
          </w:tcPr>
          <w:p>
            <w:pPr>
              <w:pStyle w:val="Normal"/>
              <w:widowControl w:val="false"/>
              <w:spacing w:before="0" w:after="200"/>
              <w:rPr/>
            </w:pPr>
            <w:r>
              <w:rPr/>
            </w:r>
          </w:p>
        </w:tc>
      </w:tr>
      <w:tr>
        <w:trPr>
          <w:trHeight w:val="100" w:hRule="atLeast"/>
        </w:trPr>
        <w:tc>
          <w:tcPr>
            <w:tcW w:w="52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t>39</w:t>
            </w:r>
          </w:p>
        </w:tc>
        <w:tc>
          <w:tcPr>
            <w:tcW w:w="569"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40</w:t>
            </w:r>
          </w:p>
        </w:tc>
        <w:tc>
          <w:tcPr>
            <w:tcW w:w="283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Можливість необґрунтованого застосування переговорної процедури закупівлі</w:t>
            </w:r>
          </w:p>
        </w:tc>
        <w:tc>
          <w:tcPr>
            <w:tcW w:w="1135"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t>низька</w:t>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40.1 Забезпечення належного обґрунтування закупівлі необхідних товарів/робіт/послуг за переговорною процедурою закупівлі, зокрема, з посиланням на експертні, нормативні, технічні та інші документи, що підтверджують наявність підстав для застосування процедури закупівлі</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Уповноважена особа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У разі проведення</w:t>
            </w:r>
          </w:p>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(перед початком закупівлі)</w:t>
            </w:r>
          </w:p>
          <w:p>
            <w:pPr>
              <w:pStyle w:val="Normal"/>
              <w:widowControl w:val="false"/>
              <w:spacing w:lineRule="auto" w:line="240" w:before="0" w:after="0"/>
              <w:jc w:val="both"/>
              <w:rPr>
                <w:rFonts w:ascii="Times New Roman" w:hAnsi="Times New Roman"/>
                <w:color w:val="191919"/>
                <w:sz w:val="24"/>
                <w:szCs w:val="24"/>
                <w:highlight w:val="none"/>
                <w:shd w:fill="auto" w:val="clear"/>
                <w:lang w:val="uk-UA"/>
              </w:rPr>
            </w:pPr>
            <w:r>
              <w:rPr>
                <w:rFonts w:ascii="Times New Roman" w:hAnsi="Times New Roman"/>
                <w:color w:val="191919"/>
                <w:sz w:val="24"/>
                <w:szCs w:val="24"/>
                <w:shd w:fill="auto" w:val="clear"/>
                <w:lang w:val="uk-UA"/>
              </w:rPr>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jc w:val="both"/>
              <w:rPr>
                <w:rFonts w:ascii="Times New Roman" w:hAnsi="Times New Roman"/>
                <w:spacing w:val="-2"/>
                <w:sz w:val="24"/>
                <w:szCs w:val="24"/>
                <w:lang w:val="uk-UA"/>
              </w:rPr>
            </w:pPr>
            <w:r>
              <w:rPr>
                <w:rFonts w:ascii="Times New Roman" w:hAnsi="Times New Roman"/>
                <w:spacing w:val="-2"/>
                <w:sz w:val="24"/>
                <w:szCs w:val="24"/>
                <w:lang w:val="uk-UA"/>
              </w:rPr>
              <w:t>Забезпечено належне обґрунтування</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28" w:type="dxa"/>
            <w:tcBorders/>
          </w:tcPr>
          <w:p>
            <w:pPr>
              <w:pStyle w:val="Normal"/>
              <w:widowControl w:val="false"/>
              <w:spacing w:before="0" w:after="200"/>
              <w:rPr/>
            </w:pPr>
            <w:r>
              <w:rPr/>
            </w:r>
          </w:p>
        </w:tc>
      </w:tr>
      <w:tr>
        <w:trPr>
          <w:trHeight w:val="100"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40.2 Використання аналітичних інструментів, які допоможуть підтвердити або спростувати необхідність застосування переговорної процедури закупівлі, з метою проведення дослідження наявності чи відсутності конкуренції на ринку (</w:t>
            </w:r>
            <w:r>
              <w:rPr>
                <w:rFonts w:ascii="Times New Roman" w:hAnsi="Times New Roman"/>
                <w:sz w:val="24"/>
                <w:szCs w:val="24"/>
              </w:rPr>
              <w:t>bi</w:t>
            </w:r>
            <w:r>
              <w:rPr>
                <w:rFonts w:ascii="Times New Roman" w:hAnsi="Times New Roman"/>
                <w:sz w:val="24"/>
                <w:szCs w:val="24"/>
                <w:lang w:val="uk-UA"/>
              </w:rPr>
              <w:t>.</w:t>
            </w:r>
            <w:r>
              <w:rPr>
                <w:rFonts w:ascii="Times New Roman" w:hAnsi="Times New Roman"/>
                <w:sz w:val="24"/>
                <w:szCs w:val="24"/>
              </w:rPr>
              <w:t>prozorro</w:t>
            </w:r>
            <w:r>
              <w:rPr>
                <w:rFonts w:ascii="Times New Roman" w:hAnsi="Times New Roman"/>
                <w:sz w:val="24"/>
                <w:szCs w:val="24"/>
                <w:lang w:val="uk-UA"/>
              </w:rPr>
              <w:t>.</w:t>
            </w:r>
            <w:r>
              <w:rPr>
                <w:rFonts w:ascii="Times New Roman" w:hAnsi="Times New Roman"/>
                <w:sz w:val="24"/>
                <w:szCs w:val="24"/>
              </w:rPr>
              <w:t>org</w:t>
            </w:r>
            <w:r>
              <w:rPr>
                <w:rFonts w:ascii="Times New Roman" w:hAnsi="Times New Roman"/>
                <w:sz w:val="24"/>
                <w:szCs w:val="24"/>
                <w:lang w:val="uk-UA"/>
              </w:rPr>
              <w:t xml:space="preserve">, </w:t>
            </w:r>
            <w:r>
              <w:rPr>
                <w:rFonts w:ascii="Times New Roman" w:hAnsi="Times New Roman"/>
                <w:sz w:val="24"/>
                <w:szCs w:val="24"/>
              </w:rPr>
              <w:t>clarity</w:t>
            </w:r>
            <w:r>
              <w:rPr>
                <w:rFonts w:ascii="Times New Roman" w:hAnsi="Times New Roman"/>
                <w:sz w:val="24"/>
                <w:szCs w:val="24"/>
                <w:lang w:val="uk-UA"/>
              </w:rPr>
              <w:t>-</w:t>
            </w:r>
            <w:r>
              <w:rPr>
                <w:rFonts w:ascii="Times New Roman" w:hAnsi="Times New Roman"/>
                <w:sz w:val="24"/>
                <w:szCs w:val="24"/>
              </w:rPr>
              <w:t>project</w:t>
            </w:r>
            <w:r>
              <w:rPr>
                <w:rFonts w:ascii="Times New Roman" w:hAnsi="Times New Roman"/>
                <w:sz w:val="24"/>
                <w:szCs w:val="24"/>
                <w:lang w:val="uk-UA"/>
              </w:rPr>
              <w:t>.</w:t>
            </w:r>
            <w:r>
              <w:rPr>
                <w:rFonts w:ascii="Times New Roman" w:hAnsi="Times New Roman"/>
                <w:sz w:val="24"/>
                <w:szCs w:val="24"/>
              </w:rPr>
              <w:t>info</w:t>
            </w:r>
            <w:r>
              <w:rPr>
                <w:rFonts w:ascii="Times New Roman" w:hAnsi="Times New Roman"/>
                <w:sz w:val="24"/>
                <w:szCs w:val="24"/>
                <w:lang w:val="uk-UA"/>
              </w:rPr>
              <w:t xml:space="preserve"> або інші аналітичні інструменти)</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Селівьорстова Ю. А.,</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Уповноважена особа</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У разі проведення</w:t>
            </w:r>
          </w:p>
          <w:p>
            <w:pPr>
              <w:pStyle w:val="Normal"/>
              <w:widowControl w:val="false"/>
              <w:spacing w:lineRule="auto" w:line="240" w:before="0" w:after="0"/>
              <w:jc w:val="both"/>
              <w:rPr>
                <w:highlight w:val="none"/>
                <w:shd w:fill="auto" w:val="clear"/>
              </w:rPr>
            </w:pPr>
            <w:r>
              <w:rPr>
                <w:rFonts w:eastAsia="Times New Roman" w:ascii="Times New Roman" w:hAnsi="Times New Roman"/>
                <w:sz w:val="24"/>
                <w:szCs w:val="24"/>
                <w:shd w:fill="auto" w:val="clear"/>
                <w:lang w:val="uk-UA" w:eastAsia="ru-RU"/>
              </w:rPr>
              <w:t>(перед початком закупівлі)</w:t>
            </w:r>
          </w:p>
          <w:p>
            <w:pPr>
              <w:pStyle w:val="Normal"/>
              <w:widowControl w:val="false"/>
              <w:spacing w:lineRule="auto" w:line="240" w:before="0" w:after="0"/>
              <w:jc w:val="both"/>
              <w:rPr>
                <w:rFonts w:ascii="Times New Roman" w:hAnsi="Times New Roman"/>
                <w:color w:val="191919"/>
                <w:sz w:val="24"/>
                <w:szCs w:val="24"/>
                <w:highlight w:val="none"/>
                <w:shd w:fill="auto" w:val="clear"/>
                <w:lang w:val="uk-UA"/>
              </w:rPr>
            </w:pPr>
            <w:r>
              <w:rPr>
                <w:rFonts w:ascii="Times New Roman" w:hAnsi="Times New Roman"/>
                <w:color w:val="191919"/>
                <w:sz w:val="24"/>
                <w:szCs w:val="24"/>
                <w:shd w:fill="auto" w:val="clear"/>
                <w:lang w:val="uk-UA"/>
              </w:rPr>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highlight w:val="none"/>
                <w:shd w:fill="auto" w:val="clear"/>
              </w:rPr>
            </w:pPr>
            <w:r>
              <w:rPr>
                <w:rFonts w:ascii="Times New Roman" w:hAnsi="Times New Roman"/>
                <w:color w:val="191919"/>
                <w:sz w:val="24"/>
                <w:szCs w:val="24"/>
                <w:shd w:fill="auto"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jc w:val="both"/>
              <w:rPr>
                <w:rFonts w:ascii="Times New Roman" w:hAnsi="Times New Roman"/>
                <w:spacing w:val="-2"/>
                <w:sz w:val="24"/>
                <w:szCs w:val="24"/>
                <w:lang w:val="uk-UA"/>
              </w:rPr>
            </w:pPr>
            <w:r>
              <w:rPr>
                <w:rFonts w:ascii="Times New Roman" w:hAnsi="Times New Roman"/>
                <w:spacing w:val="-2"/>
                <w:sz w:val="24"/>
                <w:szCs w:val="24"/>
                <w:lang w:val="uk-UA"/>
              </w:rPr>
              <w:t>Забезпечено використання аналітичних інструментів</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28" w:type="dxa"/>
            <w:tcBorders/>
          </w:tcPr>
          <w:p>
            <w:pPr>
              <w:pStyle w:val="Normal"/>
              <w:widowControl w:val="false"/>
              <w:spacing w:before="0" w:after="200"/>
              <w:rPr/>
            </w:pPr>
            <w:r>
              <w:rPr/>
            </w:r>
          </w:p>
        </w:tc>
      </w:tr>
      <w:tr>
        <w:trPr>
          <w:trHeight w:val="100" w:hRule="atLeast"/>
        </w:trPr>
        <w:tc>
          <w:tcPr>
            <w:tcW w:w="52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569"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283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tabs>
                <w:tab w:val="clear" w:pos="708"/>
                <w:tab w:val="left" w:pos="2638" w:leader="none"/>
              </w:tabs>
              <w:spacing w:before="0" w:after="200"/>
              <w:jc w:val="both"/>
              <w:rPr>
                <w:rFonts w:ascii="Times New Roman" w:hAnsi="Times New Roman"/>
                <w:sz w:val="24"/>
                <w:szCs w:val="24"/>
                <w:lang w:val="uk-UA"/>
              </w:rPr>
            </w:pPr>
            <w:r>
              <w:rPr>
                <w:rFonts w:ascii="Times New Roman" w:hAnsi="Times New Roman"/>
                <w:sz w:val="24"/>
                <w:szCs w:val="24"/>
                <w:lang w:val="uk-UA"/>
              </w:rPr>
            </w:r>
          </w:p>
        </w:tc>
        <w:tc>
          <w:tcPr>
            <w:tcW w:w="1135"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200"/>
              <w:jc w:val="center"/>
              <w:rPr>
                <w:rFonts w:ascii="Times New Roman" w:hAnsi="Times New Roman"/>
                <w:sz w:val="24"/>
                <w:szCs w:val="24"/>
                <w:lang w:val="uk-UA"/>
              </w:rPr>
            </w:pPr>
            <w:r>
              <w:rPr>
                <w:rFonts w:ascii="Times New Roman" w:hAnsi="Times New Roman"/>
                <w:sz w:val="24"/>
                <w:szCs w:val="24"/>
                <w:lang w:val="uk-UA"/>
              </w:rPr>
            </w:r>
          </w:p>
        </w:tc>
        <w:tc>
          <w:tcPr>
            <w:tcW w:w="34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t>40.3 Узагальнення результатів та аналіз причин відсутності достатньої кількості учасників процедури закупівлі з метою їх учасників подальшого усунення і збільшення конкуренції</w:t>
            </w:r>
          </w:p>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sz w:val="24"/>
                <w:szCs w:val="24"/>
                <w:lang w:val="uk-UA"/>
              </w:rPr>
            </w:r>
          </w:p>
        </w:tc>
        <w:tc>
          <w:tcPr>
            <w:tcW w:w="1848"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Баранов П. В.,</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Тодоров В.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Тарасова К. С.,</w:t>
            </w:r>
          </w:p>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Уповноважена особа</w:t>
            </w:r>
          </w:p>
        </w:tc>
        <w:tc>
          <w:tcPr>
            <w:tcW w:w="1700"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eastAsia="Times New Roman"/>
                <w:sz w:val="24"/>
                <w:szCs w:val="24"/>
                <w:lang w:val="uk-UA" w:eastAsia="ru-RU"/>
              </w:rPr>
            </w:pPr>
            <w:r>
              <w:rPr>
                <w:rFonts w:eastAsia="Times New Roman" w:ascii="Times New Roman" w:hAnsi="Times New Roman"/>
                <w:sz w:val="24"/>
                <w:szCs w:val="24"/>
                <w:lang w:val="uk-UA" w:eastAsia="ru-RU"/>
              </w:rPr>
              <w:t>щопівроку</w:t>
            </w:r>
          </w:p>
        </w:tc>
        <w:tc>
          <w:tcPr>
            <w:tcW w:w="1532" w:type="dxa"/>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rmal"/>
              <w:widowControl w:val="false"/>
              <w:spacing w:lineRule="auto" w:line="240" w:before="0" w:after="0"/>
              <w:jc w:val="both"/>
              <w:rPr>
                <w:rFonts w:ascii="Times New Roman" w:hAnsi="Times New Roman"/>
                <w:sz w:val="24"/>
                <w:szCs w:val="24"/>
                <w:lang w:val="uk-UA"/>
              </w:rPr>
            </w:pPr>
            <w:r>
              <w:rPr>
                <w:rFonts w:ascii="Times New Roman" w:hAnsi="Times New Roman"/>
                <w:color w:val="191919"/>
                <w:sz w:val="24"/>
                <w:szCs w:val="24"/>
                <w:shd w:fill="FFFFFF" w:val="clear"/>
                <w:lang w:val="uk-UA"/>
              </w:rPr>
              <w:t>не потребує додаткових ресурсів</w:t>
            </w:r>
          </w:p>
        </w:tc>
        <w:tc>
          <w:tcPr>
            <w:tcW w:w="2553" w:type="dxa"/>
            <w:gridSpan w:val="2"/>
            <w:tcBorders>
              <w:top w:val="single" w:sz="4" w:space="0" w:color="000000"/>
              <w:left w:val="single" w:sz="4" w:space="0" w:color="000000"/>
              <w:bottom w:val="single" w:sz="4" w:space="0" w:color="000000"/>
              <w:right w:val="single" w:sz="4" w:space="0" w:color="000000"/>
            </w:tcBorders>
            <w:shd w:color="auto" w:fill="FFFFFF" w:themeFill="background1" w:val="clear"/>
          </w:tcPr>
          <w:p>
            <w:pPr>
              <w:pStyle w:val="NoSpacing"/>
              <w:widowControl w:val="false"/>
              <w:jc w:val="both"/>
              <w:rPr>
                <w:rFonts w:ascii="Times New Roman" w:hAnsi="Times New Roman"/>
                <w:sz w:val="24"/>
                <w:szCs w:val="24"/>
                <w:lang w:val="uk-UA"/>
              </w:rPr>
            </w:pPr>
            <w:r>
              <w:rPr>
                <w:rFonts w:eastAsia="Times New Roman" w:ascii="Times New Roman" w:hAnsi="Times New Roman"/>
                <w:sz w:val="24"/>
                <w:szCs w:val="24"/>
                <w:lang w:val="uk-UA"/>
              </w:rPr>
              <w:t>Узагальнено інформацію та проведено аналіз, підготовлено та подано керівництву органу відповідні пропозиції (за необхідності)</w:t>
            </w:r>
          </w:p>
          <w:p>
            <w:pPr>
              <w:pStyle w:val="NoSpacing"/>
              <w:widowControl w:val="false"/>
              <w:jc w:val="both"/>
              <w:rPr>
                <w:rFonts w:ascii="Times New Roman" w:hAnsi="Times New Roman"/>
                <w:sz w:val="24"/>
                <w:szCs w:val="24"/>
                <w:lang w:val="uk-UA"/>
              </w:rPr>
            </w:pPr>
            <w:r>
              <w:rPr>
                <w:rFonts w:ascii="Times New Roman" w:hAnsi="Times New Roman"/>
                <w:sz w:val="24"/>
                <w:szCs w:val="24"/>
                <w:lang w:val="uk-UA"/>
              </w:rPr>
            </w:r>
          </w:p>
        </w:tc>
        <w:tc>
          <w:tcPr>
            <w:tcW w:w="28" w:type="dxa"/>
            <w:tcBorders/>
          </w:tcPr>
          <w:p>
            <w:pPr>
              <w:pStyle w:val="Normal"/>
              <w:widowControl w:val="false"/>
              <w:spacing w:before="0" w:after="200"/>
              <w:rPr/>
            </w:pPr>
            <w:r>
              <w:rPr/>
            </w:r>
          </w:p>
        </w:tc>
      </w:tr>
    </w:tbl>
    <w:p>
      <w:pPr>
        <w:pStyle w:val="Normal"/>
        <w:tabs>
          <w:tab w:val="clear" w:pos="708"/>
          <w:tab w:val="left" w:pos="0" w:leader="none"/>
        </w:tabs>
        <w:spacing w:lineRule="auto" w:line="240" w:before="0" w:after="0"/>
        <w:ind w:firstLine="720"/>
        <w:jc w:val="center"/>
        <w:rPr>
          <w:rFonts w:ascii="Times New Roman" w:hAnsi="Times New Roman"/>
          <w:b/>
          <w:b/>
          <w:sz w:val="28"/>
          <w:szCs w:val="28"/>
          <w:lang w:val="uk-UA"/>
        </w:rPr>
      </w:pPr>
      <w:r>
        <w:rPr>
          <w:rFonts w:ascii="Times New Roman" w:hAnsi="Times New Roman"/>
          <w:b/>
          <w:sz w:val="28"/>
          <w:szCs w:val="28"/>
          <w:lang w:val="uk-UA"/>
        </w:rPr>
      </w:r>
    </w:p>
    <w:p>
      <w:pPr>
        <w:pStyle w:val="Normal"/>
        <w:tabs>
          <w:tab w:val="clear" w:pos="708"/>
          <w:tab w:val="left" w:pos="0" w:leader="none"/>
        </w:tabs>
        <w:spacing w:lineRule="auto" w:line="240" w:before="0" w:after="0"/>
        <w:ind w:firstLine="720"/>
        <w:jc w:val="center"/>
        <w:rPr>
          <w:rFonts w:ascii="Times New Roman" w:hAnsi="Times New Roman"/>
          <w:b/>
          <w:b/>
          <w:sz w:val="28"/>
          <w:szCs w:val="28"/>
          <w:lang w:val="uk-UA"/>
        </w:rPr>
      </w:pPr>
      <w:r>
        <w:rPr>
          <w:rFonts w:ascii="Times New Roman" w:hAnsi="Times New Roman"/>
          <w:b/>
          <w:sz w:val="28"/>
          <w:szCs w:val="28"/>
          <w:lang w:val="uk-UA"/>
        </w:rPr>
      </w:r>
    </w:p>
    <w:p>
      <w:pPr>
        <w:pStyle w:val="Normal"/>
        <w:tabs>
          <w:tab w:val="clear" w:pos="708"/>
          <w:tab w:val="left" w:pos="0" w:leader="none"/>
        </w:tabs>
        <w:spacing w:lineRule="auto" w:line="240" w:before="0" w:after="0"/>
        <w:ind w:firstLine="720"/>
        <w:jc w:val="center"/>
        <w:rPr>
          <w:rFonts w:ascii="Times New Roman" w:hAnsi="Times New Roman"/>
          <w:b/>
          <w:b/>
          <w:sz w:val="28"/>
          <w:szCs w:val="28"/>
          <w:lang w:val="uk-UA"/>
        </w:rPr>
      </w:pPr>
      <w:r>
        <w:rPr>
          <w:rFonts w:ascii="Times New Roman" w:hAnsi="Times New Roman"/>
          <w:b/>
          <w:sz w:val="28"/>
          <w:szCs w:val="28"/>
          <w:lang w:val="uk-UA"/>
        </w:rPr>
      </w:r>
    </w:p>
    <w:p>
      <w:pPr>
        <w:pStyle w:val="Normal"/>
        <w:tabs>
          <w:tab w:val="clear" w:pos="708"/>
          <w:tab w:val="left" w:pos="0" w:leader="none"/>
        </w:tabs>
        <w:spacing w:lineRule="auto" w:line="240" w:before="0" w:after="0"/>
        <w:ind w:firstLine="720"/>
        <w:jc w:val="both"/>
        <w:rPr>
          <w:rFonts w:ascii="Times New Roman" w:hAnsi="Times New Roman"/>
          <w:b/>
          <w:b/>
          <w:sz w:val="24"/>
          <w:szCs w:val="24"/>
          <w:lang w:val="uk-UA"/>
        </w:rPr>
      </w:pPr>
      <w:r>
        <w:rPr>
          <w:rFonts w:ascii="Times New Roman" w:hAnsi="Times New Roman"/>
          <w:b/>
          <w:sz w:val="24"/>
          <w:szCs w:val="24"/>
          <w:lang w:val="uk-UA"/>
        </w:rPr>
        <w:t xml:space="preserve">Начальник Відділу з питань запобігання </w:t>
      </w:r>
    </w:p>
    <w:p>
      <w:pPr>
        <w:pStyle w:val="Normal"/>
        <w:tabs>
          <w:tab w:val="clear" w:pos="708"/>
          <w:tab w:val="left" w:pos="0" w:leader="none"/>
        </w:tabs>
        <w:spacing w:lineRule="auto" w:line="240" w:before="0" w:after="0"/>
        <w:ind w:firstLine="720"/>
        <w:jc w:val="both"/>
        <w:rPr>
          <w:rFonts w:ascii="Times New Roman" w:hAnsi="Times New Roman"/>
          <w:b/>
          <w:b/>
          <w:sz w:val="24"/>
          <w:szCs w:val="24"/>
          <w:lang w:val="uk-UA"/>
        </w:rPr>
      </w:pPr>
      <w:r>
        <w:rPr>
          <w:rFonts w:ascii="Times New Roman" w:hAnsi="Times New Roman"/>
          <w:b/>
          <w:sz w:val="24"/>
          <w:szCs w:val="24"/>
          <w:lang w:val="uk-UA"/>
        </w:rPr>
        <w:t>та виявлення корупції                                                                                                                        Любов ТКАЧЕНКО</w:t>
      </w:r>
    </w:p>
    <w:sectPr>
      <w:type w:val="nextPage"/>
      <w:pgSz w:orient="landscape" w:w="16838" w:h="11906"/>
      <w:pgMar w:left="404" w:right="539" w:gutter="0" w:header="0" w:top="567" w:footer="0" w:bottom="56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Courier New">
    <w:charset w:val="cc"/>
    <w:family w:val="roman"/>
    <w:pitch w:val="variable"/>
  </w:font>
  <w:font w:name="Segoe UI">
    <w:charset w:val="cc"/>
    <w:family w:val="roman"/>
    <w:pitch w:val="variable"/>
  </w:font>
  <w:font w:name="Liberation Sans">
    <w:altName w:val="Arial"/>
    <w:charset w:val="cc"/>
    <w:family w:val="roman"/>
    <w:pitch w:val="variable"/>
  </w:font>
  <w:font w:name="Times New Roman">
    <w:charset w:val="cc"/>
    <w:family w:val="roman"/>
    <w:pitch w:val="variable"/>
  </w:font>
</w:fonts>
</file>

<file path=word/settings.xml><?xml version="1.0" encoding="utf-8"?>
<w:settings xmlns:w="http://schemas.openxmlformats.org/wordprocessingml/2006/main">
  <w:zoom w:percent="104"/>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669fe"/>
    <w:pPr>
      <w:widowControl/>
      <w:suppressAutoHyphens w:val="true"/>
      <w:bidi w:val="0"/>
      <w:spacing w:lineRule="auto" w:line="276" w:before="0" w:after="200"/>
      <w:jc w:val="left"/>
    </w:pPr>
    <w:rPr>
      <w:rFonts w:ascii="Calibri" w:hAnsi="Calibri" w:eastAsia="Calibri" w:cs="Times New Roman"/>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HTML" w:customStyle="1">
    <w:name w:val="Стандартный HTML Знак"/>
    <w:link w:val="HTMLPreformatted"/>
    <w:uiPriority w:val="99"/>
    <w:semiHidden/>
    <w:qFormat/>
    <w:rsid w:val="00330471"/>
    <w:rPr>
      <w:rFonts w:ascii="Courier New" w:hAnsi="Courier New" w:eastAsia="Times New Roman" w:cs="Courier New"/>
      <w:sz w:val="20"/>
      <w:szCs w:val="20"/>
      <w:lang w:eastAsia="ru-RU"/>
    </w:rPr>
  </w:style>
  <w:style w:type="character" w:styleId="Rvts9" w:customStyle="1">
    <w:name w:val="rvts9"/>
    <w:qFormat/>
    <w:rsid w:val="0054723f"/>
    <w:rPr/>
  </w:style>
  <w:style w:type="character" w:styleId="Appleconvertedspace" w:customStyle="1">
    <w:name w:val="apple-converted-space"/>
    <w:qFormat/>
    <w:rsid w:val="0054723f"/>
    <w:rPr/>
  </w:style>
  <w:style w:type="character" w:styleId="Style14" w:customStyle="1">
    <w:name w:val="Текст выноски Знак"/>
    <w:link w:val="BalloonText"/>
    <w:uiPriority w:val="99"/>
    <w:semiHidden/>
    <w:qFormat/>
    <w:rsid w:val="00c96f09"/>
    <w:rPr>
      <w:rFonts w:ascii="Segoe UI" w:hAnsi="Segoe UI" w:cs="Segoe UI"/>
      <w:sz w:val="18"/>
      <w:szCs w:val="18"/>
      <w:lang w:eastAsia="en-US"/>
    </w:rPr>
  </w:style>
  <w:style w:type="character" w:styleId="Style15" w:customStyle="1">
    <w:name w:val="Верхний колонтитул Знак"/>
    <w:uiPriority w:val="99"/>
    <w:qFormat/>
    <w:rsid w:val="004b23c1"/>
    <w:rPr>
      <w:sz w:val="22"/>
      <w:szCs w:val="22"/>
      <w:lang w:eastAsia="en-US"/>
    </w:rPr>
  </w:style>
  <w:style w:type="character" w:styleId="Style16" w:customStyle="1">
    <w:name w:val="Нижний колонтитул Знак"/>
    <w:uiPriority w:val="99"/>
    <w:qFormat/>
    <w:rsid w:val="004b23c1"/>
    <w:rPr>
      <w:sz w:val="22"/>
      <w:szCs w:val="22"/>
      <w:lang w:eastAsia="en-US"/>
    </w:rPr>
  </w:style>
  <w:style w:type="character" w:styleId="Rvts82" w:customStyle="1">
    <w:name w:val="rvts82"/>
    <w:basedOn w:val="DefaultParagraphFont"/>
    <w:qFormat/>
    <w:rsid w:val="00725c21"/>
    <w:rPr/>
  </w:style>
  <w:style w:type="character" w:styleId="Annotationreference">
    <w:name w:val="annotation reference"/>
    <w:uiPriority w:val="99"/>
    <w:semiHidden/>
    <w:unhideWhenUsed/>
    <w:qFormat/>
    <w:rsid w:val="004753bf"/>
    <w:rPr>
      <w:sz w:val="16"/>
      <w:szCs w:val="16"/>
    </w:rPr>
  </w:style>
  <w:style w:type="character" w:styleId="Style17" w:customStyle="1">
    <w:name w:val="Текст примечания Знак"/>
    <w:link w:val="Annotationtext"/>
    <w:uiPriority w:val="99"/>
    <w:semiHidden/>
    <w:qFormat/>
    <w:rsid w:val="004753bf"/>
    <w:rPr>
      <w:lang w:eastAsia="en-US"/>
    </w:rPr>
  </w:style>
  <w:style w:type="character" w:styleId="Style18" w:customStyle="1">
    <w:name w:val="Тема примечания Знак"/>
    <w:link w:val="Annotationsubject"/>
    <w:uiPriority w:val="99"/>
    <w:semiHidden/>
    <w:qFormat/>
    <w:rsid w:val="004753bf"/>
    <w:rPr>
      <w:b/>
      <w:bCs/>
      <w:lang w:eastAsia="en-US"/>
    </w:rPr>
  </w:style>
  <w:style w:type="character" w:styleId="Style19">
    <w:name w:val="Интернет-ссылка"/>
    <w:basedOn w:val="DefaultParagraphFont"/>
    <w:uiPriority w:val="99"/>
    <w:unhideWhenUsed/>
    <w:qFormat/>
    <w:rsid w:val="00a21b59"/>
    <w:rPr>
      <w:color w:val="0563C1" w:themeColor="hyperlink"/>
      <w:u w:val="single"/>
    </w:rPr>
  </w:style>
  <w:style w:type="character" w:styleId="Style20">
    <w:name w:val="Посещённая гиперссылка"/>
    <w:basedOn w:val="DefaultParagraphFont"/>
    <w:uiPriority w:val="99"/>
    <w:semiHidden/>
    <w:unhideWhenUsed/>
    <w:qFormat/>
    <w:rsid w:val="007b2a27"/>
    <w:rPr>
      <w:color w:val="954F72" w:themeColor="followedHyperlink"/>
      <w:u w:val="single"/>
    </w:rPr>
  </w:style>
  <w:style w:type="character" w:styleId="Rvts23" w:customStyle="1">
    <w:name w:val="rvts23"/>
    <w:basedOn w:val="DefaultParagraphFont"/>
    <w:qFormat/>
    <w:rsid w:val="00b85636"/>
    <w:rPr/>
  </w:style>
  <w:style w:type="character" w:styleId="Style21">
    <w:name w:val="Символ нумерації"/>
    <w:qFormat/>
    <w:rPr/>
  </w:style>
  <w:style w:type="paragraph" w:styleId="Style22">
    <w:name w:val="Заголовок"/>
    <w:basedOn w:val="Normal"/>
    <w:next w:val="Style23"/>
    <w:qFormat/>
    <w:pPr>
      <w:keepNext w:val="true"/>
      <w:spacing w:before="240" w:after="120"/>
    </w:pPr>
    <w:rPr>
      <w:rFonts w:ascii="Liberation Sans" w:hAnsi="Liberation Sans" w:eastAsia="Microsoft YaHei" w:cs="Arial"/>
      <w:sz w:val="28"/>
      <w:szCs w:val="28"/>
    </w:rPr>
  </w:style>
  <w:style w:type="paragraph" w:styleId="Style23">
    <w:name w:val="Body Text"/>
    <w:basedOn w:val="Normal"/>
    <w:pPr>
      <w:spacing w:lineRule="auto" w:line="276" w:before="0" w:after="140"/>
    </w:pPr>
    <w:rPr/>
  </w:style>
  <w:style w:type="paragraph" w:styleId="Style24">
    <w:name w:val="List"/>
    <w:basedOn w:val="Style23"/>
    <w:pPr/>
    <w:rPr>
      <w:rFonts w:cs="Arial"/>
    </w:rPr>
  </w:style>
  <w:style w:type="paragraph" w:styleId="Style25">
    <w:name w:val="Caption"/>
    <w:basedOn w:val="Normal"/>
    <w:qFormat/>
    <w:pPr>
      <w:suppressLineNumbers/>
      <w:spacing w:before="120" w:after="120"/>
    </w:pPr>
    <w:rPr>
      <w:rFonts w:cs="Arial"/>
      <w:i/>
      <w:iCs/>
      <w:sz w:val="24"/>
      <w:szCs w:val="24"/>
    </w:rPr>
  </w:style>
  <w:style w:type="paragraph" w:styleId="Style26">
    <w:name w:val="Указатель"/>
    <w:basedOn w:val="Normal"/>
    <w:qFormat/>
    <w:pPr>
      <w:suppressLineNumbers/>
    </w:pPr>
    <w:rPr>
      <w:rFonts w:cs="Arial"/>
      <w:lang w:val="zxx" w:eastAsia="zxx" w:bidi="zxx"/>
    </w:rPr>
  </w:style>
  <w:style w:type="paragraph" w:styleId="Style27">
    <w:name w:val="Покажчик"/>
    <w:basedOn w:val="Normal"/>
    <w:qFormat/>
    <w:pPr>
      <w:suppressLineNumbers/>
    </w:pPr>
    <w:rPr>
      <w:rFonts w:cs="Arial"/>
    </w:rPr>
  </w:style>
  <w:style w:type="paragraph" w:styleId="HTMLPreformatted">
    <w:name w:val="HTML Preformatted"/>
    <w:basedOn w:val="Normal"/>
    <w:link w:val="HTML"/>
    <w:uiPriority w:val="99"/>
    <w:semiHidden/>
    <w:unhideWhenUsed/>
    <w:qFormat/>
    <w:rsid w:val="00330471"/>
    <w:pPr>
      <w:tabs>
        <w:tab w:val="clear" w:pos="708"/>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eastAsia="Times New Roman" w:cs="Courier New"/>
      <w:sz w:val="20"/>
      <w:szCs w:val="20"/>
      <w:lang w:eastAsia="ru-RU"/>
    </w:rPr>
  </w:style>
  <w:style w:type="paragraph" w:styleId="BalloonText">
    <w:name w:val="Balloon Text"/>
    <w:basedOn w:val="Normal"/>
    <w:link w:val="Style14"/>
    <w:uiPriority w:val="99"/>
    <w:semiHidden/>
    <w:unhideWhenUsed/>
    <w:qFormat/>
    <w:rsid w:val="00c96f09"/>
    <w:pPr>
      <w:spacing w:lineRule="auto" w:line="240" w:before="0" w:after="0"/>
    </w:pPr>
    <w:rPr>
      <w:rFonts w:ascii="Segoe UI" w:hAnsi="Segoe UI" w:cs="Segoe UI"/>
      <w:sz w:val="18"/>
      <w:szCs w:val="18"/>
    </w:rPr>
  </w:style>
  <w:style w:type="paragraph" w:styleId="Style28">
    <w:name w:val="Колонтитул"/>
    <w:basedOn w:val="Normal"/>
    <w:qFormat/>
    <w:pPr/>
    <w:rPr/>
  </w:style>
  <w:style w:type="paragraph" w:styleId="Style29">
    <w:name w:val="Верхній і нижній колонтитули"/>
    <w:basedOn w:val="Normal"/>
    <w:qFormat/>
    <w:pPr/>
    <w:rPr/>
  </w:style>
  <w:style w:type="paragraph" w:styleId="Style30">
    <w:name w:val="Header"/>
    <w:basedOn w:val="Normal"/>
    <w:link w:val="Style15"/>
    <w:uiPriority w:val="99"/>
    <w:unhideWhenUsed/>
    <w:rsid w:val="004b23c1"/>
    <w:pPr>
      <w:tabs>
        <w:tab w:val="clear" w:pos="708"/>
        <w:tab w:val="center" w:pos="4677" w:leader="none"/>
        <w:tab w:val="right" w:pos="9355" w:leader="none"/>
      </w:tabs>
    </w:pPr>
    <w:rPr/>
  </w:style>
  <w:style w:type="paragraph" w:styleId="Style31">
    <w:name w:val="Footer"/>
    <w:basedOn w:val="Normal"/>
    <w:link w:val="Style16"/>
    <w:uiPriority w:val="99"/>
    <w:unhideWhenUsed/>
    <w:rsid w:val="004b23c1"/>
    <w:pPr>
      <w:tabs>
        <w:tab w:val="clear" w:pos="708"/>
        <w:tab w:val="center" w:pos="4677" w:leader="none"/>
        <w:tab w:val="right" w:pos="9355" w:leader="none"/>
      </w:tabs>
    </w:pPr>
    <w:rPr/>
  </w:style>
  <w:style w:type="paragraph" w:styleId="Rvps12" w:customStyle="1">
    <w:name w:val="rvps12"/>
    <w:basedOn w:val="Normal"/>
    <w:qFormat/>
    <w:rsid w:val="00725c21"/>
    <w:pPr>
      <w:spacing w:lineRule="auto" w:line="240" w:beforeAutospacing="1" w:afterAutospacing="1"/>
    </w:pPr>
    <w:rPr>
      <w:rFonts w:ascii="Times New Roman" w:hAnsi="Times New Roman" w:eastAsia="Times New Roman"/>
      <w:sz w:val="24"/>
      <w:szCs w:val="24"/>
      <w:lang w:val="uk-UA" w:eastAsia="uk-UA"/>
    </w:rPr>
  </w:style>
  <w:style w:type="paragraph" w:styleId="ListParagraph">
    <w:name w:val="List Paragraph"/>
    <w:basedOn w:val="Normal"/>
    <w:uiPriority w:val="34"/>
    <w:qFormat/>
    <w:rsid w:val="001c765a"/>
    <w:pPr>
      <w:spacing w:before="0" w:after="200"/>
      <w:ind w:left="720" w:hanging="0"/>
      <w:contextualSpacing/>
    </w:pPr>
    <w:rPr>
      <w:rFonts w:eastAsia="Times New Roman"/>
      <w:lang w:val="uk-UA" w:eastAsia="uk-UA"/>
    </w:rPr>
  </w:style>
  <w:style w:type="paragraph" w:styleId="Annotationtext">
    <w:name w:val="annotation text"/>
    <w:basedOn w:val="Normal"/>
    <w:link w:val="Style17"/>
    <w:uiPriority w:val="99"/>
    <w:semiHidden/>
    <w:unhideWhenUsed/>
    <w:qFormat/>
    <w:rsid w:val="004753bf"/>
    <w:pPr/>
    <w:rPr>
      <w:sz w:val="20"/>
      <w:szCs w:val="20"/>
    </w:rPr>
  </w:style>
  <w:style w:type="paragraph" w:styleId="Annotationsubject">
    <w:name w:val="annotation subject"/>
    <w:basedOn w:val="Annotationtext"/>
    <w:next w:val="Annotationtext"/>
    <w:link w:val="Style18"/>
    <w:uiPriority w:val="99"/>
    <w:semiHidden/>
    <w:unhideWhenUsed/>
    <w:qFormat/>
    <w:rsid w:val="004753bf"/>
    <w:pPr/>
    <w:rPr>
      <w:b/>
      <w:bCs/>
    </w:rPr>
  </w:style>
  <w:style w:type="paragraph" w:styleId="NoSpacing">
    <w:name w:val="No Spacing"/>
    <w:uiPriority w:val="1"/>
    <w:qFormat/>
    <w:rsid w:val="00157961"/>
    <w:pPr>
      <w:widowControl/>
      <w:suppressAutoHyphens w:val="true"/>
      <w:bidi w:val="0"/>
      <w:spacing w:before="0" w:after="0"/>
      <w:jc w:val="left"/>
    </w:pPr>
    <w:rPr>
      <w:rFonts w:ascii="Calibri" w:hAnsi="Calibri" w:eastAsia="Calibri" w:cs="Times New Roman"/>
      <w:color w:val="auto"/>
      <w:kern w:val="0"/>
      <w:sz w:val="22"/>
      <w:szCs w:val="22"/>
      <w:lang w:val="ru-RU" w:eastAsia="en-US" w:bidi="ar-SA"/>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f0">
    <w:name w:val="Table Grid"/>
    <w:basedOn w:val="a1"/>
    <w:uiPriority w:val="39"/>
    <w:rsid w:val="00736fc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47B18E-BDE5-4023-AA17-8B7650188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713</TotalTime>
  <Application>LibreOffice/7.3.2.2$Windows_X86_64 LibreOffice_project/49f2b1bff42cfccbd8f788c8dc32c1c309559be0</Application>
  <AppVersion>15.0000</AppVersion>
  <Pages>28</Pages>
  <Words>5014</Words>
  <Characters>36359</Characters>
  <CharactersWithSpaces>41049</CharactersWithSpaces>
  <Paragraphs>802</Paragraphs>
  <Company>Reanimator Extreme Edition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2022-01-31T13:31:00Z</dcterms:created>
  <dc:creator>Любимая жена</dc:creator>
  <dc:description/>
  <dc:language>en-US</dc:language>
  <cp:lastModifiedBy/>
  <cp:lastPrinted>2021-11-23T09:44:00Z</cp:lastPrinted>
  <dcterms:modified xsi:type="dcterms:W3CDTF">2024-01-16T08:47:17Z</dcterms:modified>
  <cp:revision>94</cp:revision>
  <dc:subject/>
  <dc:title/>
</cp:coreProperties>
</file>

<file path=docProps/custom.xml><?xml version="1.0" encoding="utf-8"?>
<Properties xmlns="http://schemas.openxmlformats.org/officeDocument/2006/custom-properties" xmlns:vt="http://schemas.openxmlformats.org/officeDocument/2006/docPropsVTypes"/>
</file>