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0" w:leader="none"/>
          <w:tab w:val="left" w:pos="10206" w:leader="none"/>
        </w:tabs>
        <w:ind w:left="5664" w:firstLine="6"/>
        <w:rPr/>
      </w:pPr>
      <w:r>
        <w:rPr>
          <w:lang w:eastAsia="ru-RU"/>
        </w:rPr>
        <w:t>Додаток до Службової записки</w:t>
      </w:r>
    </w:p>
    <w:p>
      <w:pPr>
        <w:pStyle w:val="Normal"/>
        <w:tabs>
          <w:tab w:val="clear" w:pos="708"/>
          <w:tab w:val="left" w:pos="0" w:leader="none"/>
          <w:tab w:val="left" w:pos="10206" w:leader="none"/>
        </w:tabs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tabs>
          <w:tab w:val="clear" w:pos="708"/>
          <w:tab w:val="left" w:pos="0" w:leader="none"/>
          <w:tab w:val="left" w:pos="10206" w:leader="none"/>
        </w:tabs>
        <w:ind w:hanging="0"/>
        <w:jc w:val="center"/>
        <w:rPr>
          <w:b/>
          <w:b/>
          <w:bCs/>
        </w:rPr>
      </w:pPr>
      <w:r>
        <w:rPr>
          <w:b/>
          <w:bCs/>
        </w:rPr>
        <w:t>УМОВИ</w:t>
        <w:br/>
        <w:t>проведення добору на зайняття посади державної служби категорії “В” – головного спеціаліста відділу добору, оцінки та розвитку персоналу Управління по роботі з персоналом Головного управління Пенсійного фонду України в Луганській області</w:t>
      </w:r>
    </w:p>
    <w:p>
      <w:pPr>
        <w:pStyle w:val="Normal"/>
        <w:tabs>
          <w:tab w:val="clear" w:pos="708"/>
          <w:tab w:val="left" w:pos="0" w:leader="none"/>
          <w:tab w:val="left" w:pos="10206" w:leader="none"/>
        </w:tabs>
        <w:ind w:hanging="0"/>
        <w:jc w:val="center"/>
        <w:rPr>
          <w:b/>
          <w:b/>
          <w:bCs/>
        </w:rPr>
      </w:pPr>
      <w:r>
        <w:rPr>
          <w:b/>
          <w:bCs/>
        </w:rPr>
        <w:t>( 1 посада )</w:t>
      </w:r>
    </w:p>
    <w:p>
      <w:pPr>
        <w:pStyle w:val="Normal"/>
        <w:ind w:hanging="0"/>
        <w:rPr>
          <w:color w:val="000000"/>
          <w:sz w:val="16"/>
          <w:szCs w:val="16"/>
          <w:highlight w:val="yellow"/>
        </w:rPr>
      </w:pPr>
      <w:r>
        <w:rPr>
          <w:color w:val="000000"/>
          <w:sz w:val="16"/>
          <w:szCs w:val="16"/>
          <w:highlight w:val="yellow"/>
        </w:rPr>
      </w:r>
    </w:p>
    <w:tbl>
      <w:tblPr>
        <w:tblW w:w="9654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firstRow="0" w:noVBand="1" w:lastRow="0" w:firstColumn="0" w:lastColumn="0" w:noHBand="0" w:val="0400"/>
      </w:tblPr>
      <w:tblGrid>
        <w:gridCol w:w="495"/>
        <w:gridCol w:w="2494"/>
        <w:gridCol w:w="854"/>
        <w:gridCol w:w="5811"/>
      </w:tblGrid>
      <w:tr>
        <w:trPr>
          <w:trHeight w:val="252" w:hRule="atLeast"/>
        </w:trPr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"/>
              <w:ind w:hanging="0"/>
              <w:jc w:val="center"/>
              <w:rPr>
                <w:b/>
                <w:b/>
                <w:color w:val="000000"/>
                <w:highlight w:val="yellow"/>
              </w:rPr>
            </w:pPr>
            <w:r>
              <w:rPr>
                <w:b/>
                <w:color w:val="000000"/>
              </w:rPr>
              <w:t>Загальні умови</w:t>
            </w:r>
          </w:p>
        </w:tc>
      </w:tr>
      <w:tr>
        <w:trPr>
          <w:trHeight w:val="1110" w:hRule="atLeast"/>
        </w:trPr>
        <w:tc>
          <w:tcPr>
            <w:tcW w:w="3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jc w:val="left"/>
              <w:rPr>
                <w:b/>
                <w:b/>
                <w:bCs/>
                <w:color w:val="000000"/>
                <w:highlight w:val="yellow"/>
              </w:rPr>
            </w:pPr>
            <w:r>
              <w:rPr>
                <w:b/>
                <w:bCs/>
                <w:color w:val="000000"/>
              </w:rPr>
              <w:t>Посадові обов’язки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21"/>
              <w:widowControl w:val="false"/>
              <w:tabs>
                <w:tab w:val="clear" w:pos="708"/>
                <w:tab w:val="left" w:pos="-3420" w:leader="none"/>
              </w:tabs>
              <w:spacing w:lineRule="auto" w:line="240" w:before="0" w:after="0"/>
              <w:ind w:left="147" w:firstLine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Складання разом з державними службовцями Головного управління індивідуальні програми підвищення рівня професійної компетентності/індивідуальні програми професійного розвитку таких державних службовців, здійснення планування та організації  внутрішнього навчання державних службовців, внесення начальнику Відділу/Управління пропозиції щодо організації професійного навчання для створення сприятливих умов професійного розвитку державних службовців.</w:t>
            </w:r>
          </w:p>
          <w:p>
            <w:pPr>
              <w:pStyle w:val="21"/>
              <w:widowControl w:val="false"/>
              <w:tabs>
                <w:tab w:val="clear" w:pos="708"/>
                <w:tab w:val="left" w:pos="-3420" w:leader="none"/>
              </w:tabs>
              <w:spacing w:lineRule="auto" w:line="240" w:before="0" w:after="0"/>
              <w:ind w:left="147" w:firstLine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Здійснення моніторингу існуючих програм підвищення кваліфікації, що пропонуються суб'єктами надання освітніх послуг у сфері професійного навчання (провайдерами), зокрема на Порталі управління знаннями у сфері професійного навчання  та інформування про можливість навчання за такими програми працівників Головного управління.</w:t>
            </w:r>
          </w:p>
          <w:p>
            <w:pPr>
              <w:pStyle w:val="21"/>
              <w:widowControl w:val="false"/>
              <w:tabs>
                <w:tab w:val="clear" w:pos="708"/>
                <w:tab w:val="left" w:pos="-3420" w:leader="none"/>
              </w:tabs>
              <w:spacing w:lineRule="auto" w:line="240" w:before="0" w:after="0"/>
              <w:ind w:left="147" w:firstLine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Узагальнення щоквартального моніторингу про стан виконання індивідуальної програми підвищення рівня професійної компетентності/професійного розвитку державних службовців Головного управління за звітний рік, підготовка службових записок щодо результатів проведеного моніторингу.</w:t>
            </w:r>
          </w:p>
          <w:p>
            <w:pPr>
              <w:pStyle w:val="21"/>
              <w:widowControl w:val="false"/>
              <w:tabs>
                <w:tab w:val="clear" w:pos="708"/>
                <w:tab w:val="left" w:pos="-3420" w:leader="none"/>
              </w:tabs>
              <w:spacing w:lineRule="auto" w:line="240" w:before="0" w:after="0"/>
              <w:ind w:left="147" w:firstLine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Ведення облікових даних працівників Головного управління за допомогою програмного комплексу «Облікова картка працівника» Інтегрованої комплексної інформаційної системи (ІКІС) Пенсійного фонду України.</w:t>
            </w:r>
          </w:p>
          <w:p>
            <w:pPr>
              <w:pStyle w:val="21"/>
              <w:widowControl w:val="false"/>
              <w:tabs>
                <w:tab w:val="clear" w:pos="708"/>
                <w:tab w:val="left" w:pos="-3420" w:leader="none"/>
              </w:tabs>
              <w:spacing w:lineRule="auto" w:line="240" w:before="0" w:after="0"/>
              <w:ind w:left="147" w:firstLine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Здійснення нарахування та обліку кредитів Європейської кредитної трансферно-накопичувальної системи за проходження професійного навчання, проведення за рішенням начальника Головного управління оцінювання результативності професійного навчання державних службовців відповідно до законодавства.</w:t>
            </w:r>
          </w:p>
          <w:p>
            <w:pPr>
              <w:pStyle w:val="21"/>
              <w:widowControl w:val="false"/>
              <w:tabs>
                <w:tab w:val="clear" w:pos="708"/>
                <w:tab w:val="left" w:pos="-3420" w:leader="none"/>
              </w:tabs>
              <w:spacing w:lineRule="auto" w:line="240" w:before="0" w:after="0"/>
              <w:ind w:left="147" w:firstLine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Оформлення і видача працівникам Головного управління довідок з місця роботи.</w:t>
            </w:r>
          </w:p>
          <w:p>
            <w:pPr>
              <w:pStyle w:val="21"/>
              <w:widowControl w:val="false"/>
              <w:tabs>
                <w:tab w:val="clear" w:pos="708"/>
                <w:tab w:val="left" w:pos="-3420" w:leader="none"/>
              </w:tabs>
              <w:spacing w:lineRule="auto" w:line="240" w:before="0" w:after="0"/>
              <w:ind w:left="147" w:firstLine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Забезпечення виконання процедури проходження стажування державних службовців та молоді в Головному стажуванні. Надання консультативної допомоги працівникам Головного управління та молоді, яка бажає пройти стажування, з питань проходження, оформлення необхідних документів відповідно о чинного законодавства.</w:t>
            </w:r>
          </w:p>
          <w:p>
            <w:pPr>
              <w:pStyle w:val="21"/>
              <w:widowControl w:val="false"/>
              <w:tabs>
                <w:tab w:val="clear" w:pos="708"/>
                <w:tab w:val="left" w:pos="-3420" w:leader="none"/>
              </w:tabs>
              <w:spacing w:lineRule="auto" w:line="240" w:before="0" w:after="0"/>
              <w:ind w:left="147" w:firstLine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Обчислення стажу роботи, досвіду роботи у відповідній сфері, досвіду роботи на керівних посадах, стажу державної служби для призначення на відповідну посаду державної служби та під час проходження служби.</w:t>
            </w:r>
          </w:p>
          <w:p>
            <w:pPr>
              <w:pStyle w:val="21"/>
              <w:widowControl w:val="false"/>
              <w:tabs>
                <w:tab w:val="clear" w:pos="708"/>
                <w:tab w:val="left" w:pos="-3420" w:leader="none"/>
              </w:tabs>
              <w:spacing w:lineRule="auto" w:line="240" w:before="0" w:after="0"/>
              <w:ind w:left="147" w:firstLine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Ведення встановленої звітно-облікової документації, підготовка  державної  статистичної звітності з кадрових питань.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470" w:leader="none"/>
              </w:tabs>
              <w:ind w:left="147" w:firstLine="425"/>
              <w:rPr/>
            </w:pPr>
            <w:r>
              <w:rPr/>
              <w:t>Звітування перед начальником Відділу/Управління про виконання завдань.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470" w:leader="none"/>
              </w:tabs>
              <w:ind w:left="147" w:firstLine="425"/>
              <w:rPr>
                <w:color w:val="000000"/>
              </w:rPr>
            </w:pPr>
            <w:r>
              <w:rPr/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</w:p>
        </w:tc>
      </w:tr>
      <w:tr>
        <w:trPr>
          <w:trHeight w:val="2512" w:hRule="atLeast"/>
        </w:trPr>
        <w:tc>
          <w:tcPr>
            <w:tcW w:w="3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jc w:val="left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lang w:val="ru-RU" w:eastAsia="ru-RU"/>
              </w:rPr>
              <w:t xml:space="preserve">Умови оплати праці 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lang w:val="ru-RU" w:eastAsia="ru-RU"/>
              </w:rPr>
              <w:t>посадовий оклад –11855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>
        <w:trPr>
          <w:trHeight w:val="1733" w:hRule="atLeast"/>
        </w:trPr>
        <w:tc>
          <w:tcPr>
            <w:tcW w:w="3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jc w:val="left"/>
              <w:rPr>
                <w:color w:val="000000"/>
              </w:rPr>
            </w:pPr>
            <w:r>
              <w:rPr>
                <w:b/>
                <w:bCs/>
                <w:lang w:val="ru-RU" w:eastAsia="ru-RU"/>
              </w:rPr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ind w:left="149" w:right="126" w:firstLine="284"/>
              <w:rPr/>
            </w:pPr>
            <w:r>
              <w:rPr>
                <w:lang w:val="ru-RU" w:eastAsia="ru-RU"/>
              </w:rPr>
              <w:t>с</w:t>
            </w:r>
            <w:r>
              <w:rPr>
                <w:lang w:val="ru-RU" w:eastAsia="ru-RU"/>
              </w:rPr>
              <w:t>троково, до призначення на посаду переможця конкурсу або 12 місяців з дня припинення чи скасування воєнного стану</w:t>
            </w:r>
          </w:p>
        </w:tc>
      </w:tr>
      <w:tr>
        <w:trPr>
          <w:trHeight w:val="673" w:hRule="atLeast"/>
        </w:trPr>
        <w:tc>
          <w:tcPr>
            <w:tcW w:w="3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jc w:val="left"/>
              <w:rPr>
                <w:color w:val="000000"/>
              </w:rPr>
            </w:pPr>
            <w:r>
              <w:rPr>
                <w:b/>
                <w:bCs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>
            <w:pPr>
              <w:pStyle w:val="Normal"/>
              <w:widowControl w:val="false"/>
              <w:rPr/>
            </w:pPr>
            <w:r>
              <w:rPr/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>
            <w:pPr>
              <w:pStyle w:val="Normal"/>
              <w:widowControl w:val="false"/>
              <w:rPr/>
            </w:pPr>
            <w:r>
              <w:rPr/>
              <w:t>прізвище, ім’я, по батькові кандидата;</w:t>
            </w:r>
          </w:p>
          <w:p>
            <w:pPr>
              <w:pStyle w:val="Normal"/>
              <w:widowControl w:val="false"/>
              <w:rPr/>
            </w:pPr>
            <w:r>
              <w:rPr/>
              <w:t>реквізити документа, що посвідчує особу та підтверджує громадянство України;</w:t>
            </w:r>
          </w:p>
          <w:p>
            <w:pPr>
              <w:pStyle w:val="Normal"/>
              <w:widowControl w:val="false"/>
              <w:rPr/>
            </w:pPr>
            <w:r>
              <w:rPr/>
              <w:t>підтвердження наявності відповідного ступеня вищої освіти;</w:t>
            </w:r>
          </w:p>
          <w:p>
            <w:pPr>
              <w:pStyle w:val="Normal"/>
              <w:widowControl w:val="false"/>
              <w:rPr/>
            </w:pPr>
            <w:r>
              <w:rPr/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>
            <w:pPr>
              <w:pStyle w:val="Normal"/>
              <w:widowControl w:val="false"/>
              <w:rPr/>
            </w:pPr>
            <w:r>
              <w:rPr/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>
            <w:pPr>
              <w:pStyle w:val="Normal"/>
              <w:widowControl w:val="false"/>
              <w:suppressAutoHyphens w:val="true"/>
              <w:ind w:left="149" w:firstLine="425"/>
              <w:rPr/>
            </w:pPr>
            <w:r>
              <w:rPr>
                <w:lang w:val="ru-RU" w:eastAsia="ru-RU"/>
              </w:rPr>
              <w:t xml:space="preserve">4) документи приймаються до 17 год. 00 хв.  </w:t>
            </w:r>
            <w:r>
              <w:rPr>
                <w:lang w:val="uk-UA" w:eastAsia="ru-RU"/>
              </w:rPr>
              <w:t xml:space="preserve">06 грудня </w:t>
            </w:r>
            <w:r>
              <w:rPr>
                <w:lang w:val="ru-RU" w:eastAsia="ru-RU"/>
              </w:rPr>
              <w:t>2024 року</w:t>
            </w:r>
          </w:p>
        </w:tc>
      </w:tr>
      <w:tr>
        <w:trPr>
          <w:trHeight w:val="2346" w:hRule="atLeast"/>
        </w:trPr>
        <w:tc>
          <w:tcPr>
            <w:tcW w:w="3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5"/>
              <w:widowControl w:val="false"/>
              <w:ind w:left="149" w:right="126" w:firstLine="284"/>
              <w:rPr>
                <w:szCs w:val="28"/>
              </w:rPr>
            </w:pPr>
            <w:r>
              <w:rPr>
                <w:color w:val="000000"/>
                <w:szCs w:val="28"/>
                <w:lang w:val="ru-RU"/>
              </w:rPr>
              <w:t>с</w:t>
            </w:r>
            <w:r>
              <w:rPr>
                <w:color w:val="000000"/>
                <w:szCs w:val="28"/>
                <w:lang w:val="ru-RU"/>
              </w:rPr>
              <w:t xml:space="preserve">півбесіда з начальником Управління по роботі з персоналом відбудеться </w:t>
            </w:r>
            <w:r>
              <w:rPr>
                <w:color w:val="000000"/>
                <w:szCs w:val="28"/>
                <w:lang w:val="uk-UA"/>
              </w:rPr>
              <w:t>12</w:t>
            </w:r>
            <w:r>
              <w:rPr>
                <w:color w:val="000000"/>
                <w:szCs w:val="28"/>
                <w:lang w:val="ru-RU"/>
              </w:rPr>
              <w:t xml:space="preserve"> грудня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>
        <w:trPr>
          <w:trHeight w:val="2512" w:hRule="atLeast"/>
        </w:trPr>
        <w:tc>
          <w:tcPr>
            <w:tcW w:w="3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/>
            </w:pPr>
            <w:r>
              <w:rPr>
                <w:b/>
                <w:bCs/>
                <w:lang w:val="ru-RU" w:eastAsia="ru-RU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hang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ru-RU" w:eastAsia="ru-RU"/>
              </w:rPr>
              <w:t xml:space="preserve">Петрова Наталія Зіновіїна, (0506444025), </w:t>
              <w:br/>
            </w:r>
            <w:hyperlink r:id="rId2">
              <w:r>
                <w:rPr>
                  <w:color w:val="000000"/>
                  <w:sz w:val="28"/>
                  <w:szCs w:val="28"/>
                  <w:lang w:val="ru-RU" w:eastAsia="ru-RU"/>
                </w:rPr>
                <w:t>kadry@lg.pfu.gov.ua</w:t>
              </w:r>
            </w:hyperlink>
          </w:p>
        </w:tc>
      </w:tr>
      <w:tr>
        <w:trPr>
          <w:trHeight w:val="390" w:hRule="atLeast"/>
        </w:trPr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5"/>
              <w:widowControl w:val="false"/>
              <w:ind w:firstLine="55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Кваліфікаційні вимоги</w:t>
            </w:r>
          </w:p>
        </w:tc>
      </w:tr>
      <w:tr>
        <w:trPr>
          <w:trHeight w:val="248" w:hRule="atLeast"/>
        </w:trPr>
        <w:tc>
          <w:tcPr>
            <w:tcW w:w="3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</w:rPr>
              <w:t>Вимога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5"/>
              <w:widowControl w:val="false"/>
              <w:ind w:firstLine="55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Компоненти вимоги</w:t>
            </w:r>
          </w:p>
        </w:tc>
      </w:tr>
      <w:tr>
        <w:trPr>
          <w:trHeight w:val="390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Освіта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149" w:right="126" w:firstLine="7"/>
              <w:rPr/>
            </w:pPr>
            <w:r>
              <w:rPr>
                <w:color w:val="000000"/>
              </w:rPr>
              <w:t xml:space="preserve">вища, не нижче ступеня молодшого бакалавра або бакалавра </w:t>
            </w:r>
          </w:p>
        </w:tc>
      </w:tr>
      <w:tr>
        <w:trPr>
          <w:trHeight w:val="390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Досвід роботи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149" w:right="126" w:firstLine="7"/>
              <w:rPr/>
            </w:pPr>
            <w:r>
              <w:rPr/>
              <w:t>без вимог до досвіду роботи</w:t>
            </w:r>
          </w:p>
        </w:tc>
      </w:tr>
      <w:tr>
        <w:trPr>
          <w:trHeight w:val="390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Володіння державною мовою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149" w:right="126" w:firstLine="7"/>
              <w:rPr/>
            </w:pPr>
            <w:r>
              <w:rPr/>
              <w:t>вільне володіння державною мовою</w:t>
            </w:r>
          </w:p>
        </w:tc>
      </w:tr>
      <w:tr>
        <w:trPr>
          <w:trHeight w:val="390" w:hRule="atLeast"/>
        </w:trPr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7"/>
              <w:jc w:val="center"/>
              <w:rPr>
                <w:b/>
                <w:b/>
              </w:rPr>
            </w:pPr>
            <w:r>
              <w:rPr>
                <w:b/>
              </w:rPr>
              <w:t>Вимоги до компетентності</w:t>
            </w:r>
          </w:p>
        </w:tc>
      </w:tr>
      <w:tr>
        <w:trPr>
          <w:trHeight w:val="390" w:hRule="atLeast"/>
        </w:trPr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"/>
              <w:ind w:left="127" w:right="126"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</w:rPr>
              <w:t>Вимога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7"/>
              <w:jc w:val="center"/>
              <w:rPr>
                <w:b/>
                <w:b/>
              </w:rPr>
            </w:pPr>
            <w:r>
              <w:rPr>
                <w:b/>
              </w:rPr>
              <w:t>Компоненти вимоги</w:t>
            </w:r>
          </w:p>
        </w:tc>
      </w:tr>
      <w:tr>
        <w:trPr>
          <w:trHeight w:val="390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ind w:hanging="21"/>
              <w:rPr/>
            </w:pPr>
            <w:r>
              <w:rPr>
                <w:color w:val="000000"/>
              </w:rPr>
              <w:t>Якісне виконання поставлених завдань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98" w:leader="none"/>
              </w:tabs>
              <w:ind w:firstLine="410"/>
              <w:rPr>
                <w:color w:val="000000"/>
              </w:rPr>
            </w:pPr>
            <w:r>
              <w:rPr>
                <w:color w:val="000000"/>
              </w:rPr>
              <w:t>чітке і точне формулювання мети, цілей і завдань службової діяльності;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98" w:leader="none"/>
              </w:tabs>
              <w:ind w:firstLine="410"/>
              <w:rPr>
                <w:color w:val="000000"/>
              </w:rPr>
            </w:pPr>
            <w:r>
              <w:rPr>
                <w:color w:val="000000"/>
              </w:rPr>
              <w:t>комплексний підхід до виконання завдань, виявлення ризиків;</w:t>
            </w:r>
          </w:p>
          <w:p>
            <w:pPr>
              <w:pStyle w:val="Normal"/>
              <w:widowControl w:val="false"/>
              <w:ind w:firstLine="410"/>
              <w:rPr>
                <w:lang w:eastAsia="zh-CN" w:bidi="hi-IN"/>
              </w:rPr>
            </w:pPr>
            <w:r>
              <w:rPr>
                <w:color w:val="000000"/>
              </w:rPr>
              <w:t>розуміння змісту завдання і його кінцевих результатів, самостійне визначення можливих шляхів досягнення</w:t>
            </w:r>
          </w:p>
        </w:tc>
      </w:tr>
      <w:tr>
        <w:trPr>
          <w:trHeight w:val="390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widowControl w:val="false"/>
              <w:snapToGrid w:val="false"/>
              <w:ind w:hanging="21"/>
              <w:rPr/>
            </w:pPr>
            <w:r>
              <w:rPr>
                <w:bCs/>
                <w:lang w:eastAsia="zh-CN" w:bidi="hi-IN"/>
              </w:rPr>
              <w:t>Відповідальність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ind w:left="142" w:right="138" w:firstLine="268"/>
              <w:rPr>
                <w:lang w:eastAsia="zh-CN" w:bidi="hi-IN"/>
              </w:rPr>
            </w:pPr>
            <w:r>
              <w:rPr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>
            <w:pPr>
              <w:pStyle w:val="Normal"/>
              <w:widowControl w:val="false"/>
              <w:ind w:left="142" w:right="138" w:firstLine="268"/>
              <w:rPr>
                <w:lang w:eastAsia="zh-CN" w:bidi="hi-IN"/>
              </w:rPr>
            </w:pPr>
            <w:r>
              <w:rPr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>
        <w:trPr>
          <w:trHeight w:val="237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widowControl w:val="false"/>
              <w:snapToGrid w:val="false"/>
              <w:ind w:hanging="21"/>
              <w:rPr/>
            </w:pPr>
            <w:r>
              <w:rPr>
                <w:bCs/>
              </w:rPr>
              <w:t>Аналітичні здібності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ind w:left="142" w:right="138" w:firstLine="268"/>
              <w:rPr/>
            </w:pPr>
            <w:r>
              <w:rPr/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>
            <w:pPr>
              <w:pStyle w:val="Normal"/>
              <w:widowControl w:val="false"/>
              <w:ind w:left="142" w:right="138" w:firstLine="268"/>
              <w:rPr/>
            </w:pPr>
            <w:r>
              <w:rPr/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>
        <w:trPr>
          <w:trHeight w:val="1533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widowControl w:val="false"/>
              <w:snapToGrid w:val="false"/>
              <w:ind w:hanging="21"/>
              <w:rPr>
                <w:bCs/>
              </w:rPr>
            </w:pPr>
            <w:r>
              <w:rPr>
                <w:bCs/>
              </w:rPr>
              <w:t>Стресостійкість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71" w:leader="none"/>
              </w:tabs>
              <w:ind w:left="1" w:firstLine="268"/>
              <w:rPr>
                <w:color w:val="000000"/>
              </w:rPr>
            </w:pPr>
            <w:r>
              <w:rPr>
                <w:color w:val="000000"/>
              </w:rPr>
              <w:t>уміння розуміти та управляти своїми емоціями;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71" w:leader="none"/>
              </w:tabs>
              <w:ind w:left="1" w:firstLine="268"/>
              <w:rPr>
                <w:color w:val="000000"/>
              </w:rPr>
            </w:pPr>
            <w:r>
              <w:rPr>
                <w:color w:val="000000"/>
              </w:rPr>
              <w:t>здатність до самоконтролю;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84" w:leader="none"/>
              </w:tabs>
              <w:ind w:left="1" w:firstLine="268"/>
              <w:rPr>
                <w:color w:val="000000"/>
              </w:rPr>
            </w:pPr>
            <w:r>
              <w:rPr>
                <w:color w:val="000000"/>
              </w:rPr>
              <w:t>здатність до конструктивного ставлення до зворотного зв’язку, зокрема критики;</w:t>
            </w:r>
          </w:p>
          <w:p>
            <w:pPr>
              <w:pStyle w:val="Normal"/>
              <w:widowControl w:val="false"/>
              <w:snapToGrid w:val="false"/>
              <w:ind w:firstLine="268"/>
              <w:rPr/>
            </w:pPr>
            <w:r>
              <w:rPr>
                <w:color w:val="000000"/>
              </w:rPr>
              <w:t>оптимізм.</w:t>
            </w:r>
          </w:p>
        </w:tc>
      </w:tr>
      <w:tr>
        <w:trPr>
          <w:trHeight w:val="390" w:hRule="atLeast"/>
        </w:trPr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7"/>
              <w:jc w:val="center"/>
              <w:rPr>
                <w:b/>
                <w:b/>
              </w:rPr>
            </w:pPr>
            <w:r>
              <w:rPr>
                <w:b/>
              </w:rPr>
              <w:t>Професійні знання</w:t>
            </w:r>
          </w:p>
        </w:tc>
      </w:tr>
      <w:tr>
        <w:trPr>
          <w:trHeight w:val="390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Знання законодавства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127" w:firstLine="567"/>
              <w:rPr/>
            </w:pPr>
            <w:r>
              <w:rPr/>
              <w:t>Знання:</w:t>
            </w:r>
          </w:p>
          <w:p>
            <w:pPr>
              <w:pStyle w:val="Normal"/>
              <w:widowControl w:val="false"/>
              <w:ind w:left="127" w:firstLine="567"/>
              <w:rPr/>
            </w:pPr>
            <w:r>
              <w:rPr/>
              <w:t xml:space="preserve">Конституції України; </w:t>
            </w:r>
          </w:p>
          <w:p>
            <w:pPr>
              <w:pStyle w:val="Normal"/>
              <w:widowControl w:val="false"/>
              <w:ind w:left="127" w:firstLine="567"/>
              <w:rPr/>
            </w:pPr>
            <w:r>
              <w:rPr/>
              <w:t xml:space="preserve">Закону України “Про державну службу”; </w:t>
            </w:r>
          </w:p>
          <w:p>
            <w:pPr>
              <w:pStyle w:val="Normal"/>
              <w:widowControl w:val="false"/>
              <w:ind w:left="127" w:firstLine="567"/>
              <w:rPr/>
            </w:pPr>
            <w:r>
              <w:rPr/>
              <w:t>Закону України “Про запобігання корупції”;</w:t>
            </w:r>
          </w:p>
          <w:p>
            <w:pPr>
              <w:pStyle w:val="Normal"/>
              <w:widowControl w:val="false"/>
              <w:ind w:left="127" w:firstLine="567"/>
              <w:rPr/>
            </w:pPr>
            <w:r>
              <w:rPr/>
              <w:t>та іншого законодавства</w:t>
            </w:r>
          </w:p>
        </w:tc>
      </w:tr>
      <w:tr>
        <w:trPr>
          <w:trHeight w:val="390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Знання законодавства у сфері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127" w:firstLine="567"/>
              <w:rPr/>
            </w:pPr>
            <w:r>
              <w:rPr/>
              <w:t>Знання: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720" w:leader="none"/>
              </w:tabs>
              <w:ind w:left="127" w:firstLine="567"/>
              <w:rPr>
                <w:color w:val="000000"/>
              </w:rPr>
            </w:pPr>
            <w:r>
              <w:rPr/>
              <w:t>Кодексу законів про працю України;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720" w:leader="none"/>
              </w:tabs>
              <w:ind w:left="127" w:firstLine="567"/>
              <w:rPr>
                <w:color w:val="000000"/>
              </w:rPr>
            </w:pPr>
            <w:r>
              <w:rPr>
                <w:color w:val="000000"/>
              </w:rPr>
              <w:t xml:space="preserve">Закону України </w:t>
            </w:r>
            <w:r>
              <w:rPr>
                <w:color w:val="000000"/>
                <w:lang w:val="ru-RU"/>
              </w:rPr>
              <w:t>“</w:t>
            </w:r>
            <w:r>
              <w:rPr>
                <w:color w:val="000000"/>
              </w:rPr>
              <w:t>Про відпустки</w:t>
            </w:r>
            <w:r>
              <w:rPr>
                <w:color w:val="000000"/>
                <w:lang w:val="ru-RU"/>
              </w:rPr>
              <w:t>”</w:t>
            </w:r>
            <w:r>
              <w:rPr>
                <w:color w:val="000000"/>
              </w:rPr>
              <w:t>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720" w:leader="none"/>
              </w:tabs>
              <w:ind w:left="127" w:firstLine="567"/>
              <w:rPr>
                <w:color w:val="000000"/>
              </w:rPr>
            </w:pPr>
            <w:r>
              <w:rPr/>
              <w:t xml:space="preserve">Закону України </w:t>
            </w:r>
            <w:r>
              <w:rPr>
                <w:lang w:val="ru-RU"/>
              </w:rPr>
              <w:t>“</w:t>
            </w:r>
            <w:r>
              <w:rPr/>
              <w:t>Про очищення влади</w:t>
            </w:r>
            <w:r>
              <w:rPr>
                <w:lang w:val="ru-RU"/>
              </w:rPr>
              <w:t>”</w:t>
            </w:r>
            <w:r>
              <w:rPr/>
              <w:t>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720" w:leader="none"/>
              </w:tabs>
              <w:ind w:left="127" w:firstLine="567"/>
              <w:rPr>
                <w:color w:val="000000"/>
              </w:rPr>
            </w:pPr>
            <w:r>
              <w:rPr/>
              <w:t xml:space="preserve">Закону України </w:t>
            </w:r>
            <w:r>
              <w:rPr>
                <w:lang w:val="ru-RU"/>
              </w:rPr>
              <w:t>“</w:t>
            </w:r>
            <w:r>
              <w:rPr>
                <w:bCs/>
                <w:color w:val="000000"/>
                <w:shd w:fill="FFFFFF" w:val="clear"/>
              </w:rPr>
              <w:t>Про загальнообов'язкове державне пенсійне страхування</w:t>
            </w:r>
            <w:r>
              <w:rPr>
                <w:bCs/>
                <w:color w:val="000000"/>
                <w:shd w:fill="FFFFFF" w:val="clear"/>
                <w:lang w:val="ru-RU"/>
              </w:rPr>
              <w:t>”</w:t>
            </w:r>
            <w:r>
              <w:rPr/>
              <w:t>;</w:t>
            </w:r>
          </w:p>
          <w:p>
            <w:pPr>
              <w:pStyle w:val="Normal"/>
              <w:widowControl w:val="false"/>
              <w:ind w:left="127" w:firstLine="567"/>
              <w:rPr>
                <w:shd w:fill="FFFFFF" w:val="clear"/>
              </w:rPr>
            </w:pPr>
            <w:r>
              <w:rPr>
                <w:shd w:fill="FFFFFF" w:val="clear"/>
              </w:rPr>
              <w:t xml:space="preserve">Закону України </w:t>
            </w:r>
            <w:r>
              <w:rPr>
                <w:shd w:fill="FFFFFF" w:val="clear"/>
                <w:lang w:val="ru-RU"/>
              </w:rPr>
              <w:t>“</w:t>
            </w:r>
            <w:r>
              <w:rPr>
                <w:shd w:fill="FFFFFF" w:val="clear"/>
              </w:rPr>
              <w:t>Про інформацію</w:t>
            </w:r>
            <w:r>
              <w:rPr>
                <w:shd w:fill="FFFFFF" w:val="clear"/>
                <w:lang w:val="ru-RU"/>
              </w:rPr>
              <w:t>”</w:t>
            </w:r>
            <w:r>
              <w:rPr>
                <w:shd w:fill="FFFFFF" w:val="clear"/>
              </w:rPr>
              <w:t>;</w:t>
            </w:r>
          </w:p>
          <w:p>
            <w:pPr>
              <w:pStyle w:val="Normal"/>
              <w:widowControl w:val="false"/>
              <w:ind w:left="127" w:firstLine="567"/>
              <w:rPr>
                <w:shd w:fill="FFFFFF" w:val="clear"/>
              </w:rPr>
            </w:pPr>
            <w:r>
              <w:rPr>
                <w:shd w:fill="FFFFFF" w:val="clear"/>
              </w:rPr>
              <w:t xml:space="preserve">Закону України </w:t>
            </w:r>
            <w:r>
              <w:rPr>
                <w:shd w:fill="FFFFFF" w:val="clear"/>
                <w:lang w:val="ru-RU"/>
              </w:rPr>
              <w:t>“</w:t>
            </w:r>
            <w:r>
              <w:rPr>
                <w:shd w:fill="FFFFFF" w:val="clear"/>
              </w:rPr>
              <w:t>Про доступ до публічної інформації</w:t>
            </w:r>
            <w:r>
              <w:rPr>
                <w:shd w:fill="FFFFFF" w:val="clear"/>
                <w:lang w:val="ru-RU"/>
              </w:rPr>
              <w:t>”</w:t>
            </w:r>
            <w:r>
              <w:rPr>
                <w:shd w:fill="FFFFFF" w:val="clear"/>
              </w:rPr>
              <w:t>;</w:t>
            </w:r>
          </w:p>
          <w:p>
            <w:pPr>
              <w:pStyle w:val="Normal"/>
              <w:widowControl w:val="false"/>
              <w:ind w:left="127" w:firstLine="567"/>
              <w:rPr>
                <w:rStyle w:val="Rvts0"/>
              </w:rPr>
            </w:pPr>
            <w:r>
              <w:rPr>
                <w:rStyle w:val="Rvts0"/>
              </w:rPr>
              <w:t xml:space="preserve">Закону України </w:t>
            </w:r>
            <w:r>
              <w:rPr>
                <w:rStyle w:val="Rvts0"/>
                <w:lang w:val="ru-RU"/>
              </w:rPr>
              <w:t>“</w:t>
            </w:r>
            <w:r>
              <w:rPr>
                <w:rStyle w:val="Rvts0"/>
              </w:rPr>
              <w:t>Про військовий обов’язок і військову службу</w:t>
            </w:r>
            <w:r>
              <w:rPr>
                <w:rStyle w:val="Rvts0"/>
                <w:lang w:val="ru-RU"/>
              </w:rPr>
              <w:t>”</w:t>
            </w:r>
            <w:r>
              <w:rPr>
                <w:rStyle w:val="Rvts0"/>
              </w:rPr>
              <w:t>;</w:t>
            </w:r>
          </w:p>
          <w:p>
            <w:pPr>
              <w:pStyle w:val="Normal"/>
              <w:widowControl w:val="false"/>
              <w:ind w:left="127" w:firstLine="567"/>
              <w:rPr>
                <w:rStyle w:val="Rvts9"/>
                <w:bCs/>
                <w:color w:val="000000"/>
              </w:rPr>
            </w:pPr>
            <w:r>
              <w:rPr/>
              <w:t xml:space="preserve">Типового положення про службу управління персоналом державного органу, затвердженого </w:t>
            </w:r>
            <w:r>
              <w:rPr>
                <w:rStyle w:val="Rvts9"/>
                <w:bCs/>
                <w:color w:val="000000"/>
              </w:rPr>
              <w:t>наказом Національного</w:t>
            </w:r>
            <w:r>
              <w:rPr>
                <w:rStyle w:val="Appleconvertedspace"/>
                <w:color w:val="000000"/>
              </w:rPr>
              <w:t xml:space="preserve"> </w:t>
            </w:r>
            <w:r>
              <w:rPr>
                <w:rStyle w:val="Rvts9"/>
                <w:bCs/>
                <w:color w:val="000000"/>
              </w:rPr>
              <w:t>агентства України з питань державної служби</w:t>
            </w:r>
            <w:r>
              <w:rPr>
                <w:rStyle w:val="Appleconvertedspace"/>
                <w:color w:val="000000"/>
              </w:rPr>
              <w:t xml:space="preserve"> </w:t>
            </w:r>
            <w:r>
              <w:rPr>
                <w:rStyle w:val="Rvts9"/>
                <w:bCs/>
                <w:color w:val="000000"/>
              </w:rPr>
              <w:t>03.03.2016 № 47</w:t>
            </w:r>
            <w:r>
              <w:rPr>
                <w:rStyle w:val="Rvts9"/>
                <w:bCs/>
                <w:color w:val="000000"/>
                <w:lang w:val="ru-RU"/>
              </w:rPr>
              <w:t>(</w:t>
            </w:r>
            <w:r>
              <w:rPr>
                <w:rStyle w:val="Rvts9"/>
                <w:bCs/>
                <w:color w:val="000000"/>
              </w:rPr>
              <w:t>із змінами);</w:t>
            </w:r>
          </w:p>
          <w:p>
            <w:pPr>
              <w:pStyle w:val="Normal"/>
              <w:widowControl w:val="false"/>
              <w:ind w:left="127" w:firstLine="567"/>
              <w:rPr>
                <w:shd w:fill="FFFFFF" w:val="clear"/>
              </w:rPr>
            </w:pPr>
            <w:r>
              <w:rPr>
                <w:shd w:fill="FFFFFF" w:val="clear"/>
              </w:rPr>
              <w:t>Інструкції з діловодства в  Пенсійному фонді України;</w:t>
            </w:r>
          </w:p>
          <w:p>
            <w:pPr>
              <w:pStyle w:val="Normal"/>
              <w:widowControl w:val="false"/>
              <w:ind w:left="127" w:firstLine="567"/>
              <w:rPr/>
            </w:pPr>
            <w:r>
              <w:rPr>
                <w:shd w:fill="FFFFFF" w:val="clear"/>
              </w:rPr>
              <w:t>з</w:t>
            </w:r>
            <w:r>
              <w:rPr>
                <w:rStyle w:val="Rvts0"/>
              </w:rPr>
              <w:t>аконодавства про державну службу, трудове законодавство, законодавчих та нормативно-правових акти, що регламентують діяльність управління персоналом.</w:t>
            </w:r>
          </w:p>
        </w:tc>
      </w:tr>
      <w:tr>
        <w:trPr>
          <w:trHeight w:val="390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widowControl w:val="false"/>
              <w:spacing w:before="0" w:after="20"/>
              <w:ind w:left="127" w:right="126" w:hanging="0"/>
              <w:rPr>
                <w:color w:val="000000"/>
              </w:rPr>
            </w:pPr>
            <w:r>
              <w:rPr>
                <w:bCs/>
              </w:rPr>
              <w:t>Знання системи обліку персоналу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567"/>
              <w:rPr/>
            </w:pPr>
            <w:r>
              <w:rPr/>
              <w:t>Основи роботи з базами даних</w:t>
            </w:r>
          </w:p>
        </w:tc>
      </w:tr>
    </w:tbl>
    <w:p>
      <w:pPr>
        <w:pStyle w:val="Normal"/>
        <w:ind w:right="152" w:hanging="0"/>
        <w:jc w:val="center"/>
        <w:rPr/>
      </w:pPr>
      <w:r>
        <w:rPr/>
        <w:t>_____________________________</w:t>
      </w:r>
    </w:p>
    <w:sectPr>
      <w:headerReference w:type="default" r:id="rId3"/>
      <w:footerReference w:type="default" r:id="rId4"/>
      <w:type w:val="nextPage"/>
      <w:pgSz w:w="11906" w:h="16838"/>
      <w:pgMar w:left="1417" w:right="850" w:gutter="0" w:header="708" w:top="850" w:footer="708" w:bottom="850"/>
      <w:pgNumType w:fmt="decimal"/>
      <w:formProt w:val="false"/>
      <w:titlePg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Liberation Mono">
    <w:altName w:val="Courier New"/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8"/>
      <w:jc w:val="center"/>
      <w:rPr/>
    </w:pPr>
    <w:r>
      <w:rPr/>
    </w:r>
  </w:p>
  <w:p>
    <w:pPr>
      <w:pStyle w:val="Style28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381547912"/>
    </w:sdtPr>
    <w:sdtContent>
      <w:p>
        <w:pPr>
          <w:pStyle w:val="Style27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6</w:t>
        </w:r>
        <w:r>
          <w:rPr/>
          <w:fldChar w:fldCharType="end"/>
        </w:r>
      </w:p>
    </w:sdtContent>
  </w:sdt>
  <w:p>
    <w:pPr>
      <w:pStyle w:val="Style27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uk-U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f4741"/>
    <w:pPr>
      <w:widowControl/>
      <w:suppressAutoHyphens w:val="true"/>
      <w:bidi w:val="0"/>
      <w:spacing w:lineRule="auto" w:line="240" w:before="0" w:after="0"/>
      <w:ind w:firstLine="709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8"/>
      <w:lang w:val="uk-UA" w:eastAsia="uk-UA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Hyperlink"/>
    <w:basedOn w:val="DefaultParagraphFont"/>
    <w:uiPriority w:val="99"/>
    <w:semiHidden/>
    <w:unhideWhenUsed/>
    <w:rsid w:val="001f4741"/>
    <w:rPr>
      <w:color w:val="0000FF"/>
      <w:u w:val="single"/>
    </w:rPr>
  </w:style>
  <w:style w:type="character" w:styleId="Style15" w:customStyle="1">
    <w:name w:val="Основний текст з відступом Знак"/>
    <w:basedOn w:val="DefaultParagraphFont"/>
    <w:qFormat/>
    <w:rsid w:val="000870bf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6" w:customStyle="1">
    <w:name w:val="Верхній колонтитул Знак"/>
    <w:basedOn w:val="DefaultParagraphFont"/>
    <w:uiPriority w:val="99"/>
    <w:qFormat/>
    <w:rsid w:val="002f34fe"/>
    <w:rPr>
      <w:rFonts w:ascii="Times New Roman" w:hAnsi="Times New Roman" w:eastAsia="Times New Roman" w:cs="Times New Roman"/>
      <w:sz w:val="28"/>
      <w:szCs w:val="28"/>
      <w:lang w:eastAsia="uk-UA"/>
    </w:rPr>
  </w:style>
  <w:style w:type="character" w:styleId="Style17" w:customStyle="1">
    <w:name w:val="Нижній колонтитул Знак"/>
    <w:basedOn w:val="DefaultParagraphFont"/>
    <w:uiPriority w:val="99"/>
    <w:qFormat/>
    <w:rsid w:val="002f34fe"/>
    <w:rPr>
      <w:rFonts w:ascii="Times New Roman" w:hAnsi="Times New Roman" w:eastAsia="Times New Roman" w:cs="Times New Roman"/>
      <w:sz w:val="28"/>
      <w:szCs w:val="28"/>
      <w:lang w:eastAsia="uk-UA"/>
    </w:rPr>
  </w:style>
  <w:style w:type="character" w:styleId="Style18" w:customStyle="1">
    <w:name w:val="Текст у виносці Знак"/>
    <w:basedOn w:val="DefaultParagraphFont"/>
    <w:link w:val="BalloonText"/>
    <w:uiPriority w:val="99"/>
    <w:semiHidden/>
    <w:qFormat/>
    <w:rsid w:val="00f95821"/>
    <w:rPr>
      <w:rFonts w:ascii="Tahoma" w:hAnsi="Tahoma" w:eastAsia="Times New Roman" w:cs="Tahoma"/>
      <w:sz w:val="16"/>
      <w:szCs w:val="16"/>
      <w:lang w:eastAsia="uk-UA"/>
    </w:rPr>
  </w:style>
  <w:style w:type="character" w:styleId="Bodytext" w:customStyle="1">
    <w:name w:val="Body text_"/>
    <w:uiPriority w:val="99"/>
    <w:qFormat/>
    <w:rsid w:val="001b40bb"/>
    <w:rPr>
      <w:sz w:val="26"/>
    </w:rPr>
  </w:style>
  <w:style w:type="character" w:styleId="FontStyle21" w:customStyle="1">
    <w:name w:val="Font Style21"/>
    <w:uiPriority w:val="99"/>
    <w:qFormat/>
    <w:rsid w:val="001b40bb"/>
    <w:rPr>
      <w:rFonts w:ascii="Times New Roman" w:hAnsi="Times New Roman"/>
      <w:sz w:val="26"/>
    </w:rPr>
  </w:style>
  <w:style w:type="character" w:styleId="2" w:customStyle="1">
    <w:name w:val="Основной текст (2)_"/>
    <w:link w:val="21"/>
    <w:qFormat/>
    <w:locked/>
    <w:rsid w:val="009d3d5e"/>
    <w:rPr>
      <w:sz w:val="26"/>
      <w:szCs w:val="26"/>
      <w:shd w:fill="FFFFFF" w:val="clear"/>
    </w:rPr>
  </w:style>
  <w:style w:type="character" w:styleId="Rvts0" w:customStyle="1">
    <w:name w:val="rvts0"/>
    <w:basedOn w:val="DefaultParagraphFont"/>
    <w:qFormat/>
    <w:rsid w:val="00a15bcc"/>
    <w:rPr/>
  </w:style>
  <w:style w:type="character" w:styleId="Rvts9" w:customStyle="1">
    <w:name w:val="rvts9"/>
    <w:qFormat/>
    <w:rsid w:val="00a15bcc"/>
    <w:rPr/>
  </w:style>
  <w:style w:type="character" w:styleId="Appleconvertedspace" w:customStyle="1">
    <w:name w:val="apple-converted-space"/>
    <w:qFormat/>
    <w:rsid w:val="00a15bcc"/>
    <w:rPr/>
  </w:style>
  <w:style w:type="character" w:styleId="5" w:customStyle="1">
    <w:name w:val="Основной текст (5) + Не курсив"/>
    <w:qFormat/>
    <w:rsid w:val="000810da"/>
    <w:rPr>
      <w:i/>
      <w:iCs/>
      <w:sz w:val="26"/>
      <w:szCs w:val="26"/>
      <w:lang w:bidi="ar-SA"/>
    </w:rPr>
  </w:style>
  <w:style w:type="character" w:styleId="Style19">
    <w:name w:val="Символ нумерації"/>
    <w:qFormat/>
    <w:rPr/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21">
    <w:name w:val="Body Text"/>
    <w:basedOn w:val="Normal"/>
    <w:pPr>
      <w:spacing w:lineRule="auto" w:line="276" w:before="0" w:after="140"/>
    </w:pPr>
    <w:rPr/>
  </w:style>
  <w:style w:type="paragraph" w:styleId="Style22">
    <w:name w:val="List"/>
    <w:basedOn w:val="Style21"/>
    <w:pPr/>
    <w:rPr>
      <w:rFonts w:cs="Lucida Sans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4">
    <w:name w:val="Покажчик"/>
    <w:basedOn w:val="Normal"/>
    <w:qFormat/>
    <w:pPr>
      <w:suppressLineNumbers/>
    </w:pPr>
    <w:rPr>
      <w:rFonts w:cs="Lucida Sans"/>
    </w:rPr>
  </w:style>
  <w:style w:type="paragraph" w:styleId="Style25">
    <w:name w:val="Body Text Indent"/>
    <w:basedOn w:val="Normal"/>
    <w:link w:val="Style15"/>
    <w:rsid w:val="000870bf"/>
    <w:pPr>
      <w:ind w:firstLine="567"/>
    </w:pPr>
    <w:rPr>
      <w:szCs w:val="20"/>
      <w:lang w:eastAsia="ru-RU"/>
    </w:rPr>
  </w:style>
  <w:style w:type="paragraph" w:styleId="ListParagraph">
    <w:name w:val="List Paragraph"/>
    <w:basedOn w:val="Normal"/>
    <w:uiPriority w:val="34"/>
    <w:qFormat/>
    <w:rsid w:val="007b7f7c"/>
    <w:pPr>
      <w:spacing w:before="0" w:after="0"/>
      <w:ind w:left="720" w:firstLine="709"/>
      <w:contextualSpacing/>
    </w:pPr>
    <w:rPr/>
  </w:style>
  <w:style w:type="paragraph" w:styleId="NormalWeb">
    <w:name w:val="Normal (Web)"/>
    <w:basedOn w:val="Normal"/>
    <w:qFormat/>
    <w:rsid w:val="00a3240a"/>
    <w:pPr>
      <w:spacing w:beforeAutospacing="1" w:afterAutospacing="1"/>
      <w:ind w:hanging="0"/>
      <w:jc w:val="left"/>
    </w:pPr>
    <w:rPr>
      <w:sz w:val="24"/>
      <w:szCs w:val="24"/>
      <w:lang w:val="ru-RU" w:eastAsia="ru-RU"/>
    </w:rPr>
  </w:style>
  <w:style w:type="paragraph" w:styleId="Style26">
    <w:name w:val="Верхній і нижній колонтитули"/>
    <w:basedOn w:val="Normal"/>
    <w:qFormat/>
    <w:pPr/>
    <w:rPr/>
  </w:style>
  <w:style w:type="paragraph" w:styleId="Style27">
    <w:name w:val="Header"/>
    <w:basedOn w:val="Normal"/>
    <w:link w:val="Style16"/>
    <w:uiPriority w:val="99"/>
    <w:unhideWhenUsed/>
    <w:rsid w:val="002f34fe"/>
    <w:pPr>
      <w:tabs>
        <w:tab w:val="clear" w:pos="708"/>
        <w:tab w:val="center" w:pos="4819" w:leader="none"/>
        <w:tab w:val="right" w:pos="9639" w:leader="none"/>
      </w:tabs>
    </w:pPr>
    <w:rPr/>
  </w:style>
  <w:style w:type="paragraph" w:styleId="Style28">
    <w:name w:val="Footer"/>
    <w:basedOn w:val="Normal"/>
    <w:link w:val="Style17"/>
    <w:uiPriority w:val="99"/>
    <w:unhideWhenUsed/>
    <w:rsid w:val="002f34fe"/>
    <w:pPr>
      <w:tabs>
        <w:tab w:val="clear" w:pos="708"/>
        <w:tab w:val="center" w:pos="4819" w:leader="none"/>
        <w:tab w:val="right" w:pos="9639" w:leader="none"/>
      </w:tabs>
    </w:pPr>
    <w:rPr/>
  </w:style>
  <w:style w:type="paragraph" w:styleId="BalloonText">
    <w:name w:val="Balloon Text"/>
    <w:basedOn w:val="Normal"/>
    <w:link w:val="Style18"/>
    <w:uiPriority w:val="99"/>
    <w:semiHidden/>
    <w:unhideWhenUsed/>
    <w:qFormat/>
    <w:rsid w:val="00f95821"/>
    <w:pPr/>
    <w:rPr>
      <w:rFonts w:ascii="Tahoma" w:hAnsi="Tahoma" w:cs="Tahoma"/>
      <w:sz w:val="16"/>
      <w:szCs w:val="16"/>
    </w:rPr>
  </w:style>
  <w:style w:type="paragraph" w:styleId="21" w:customStyle="1">
    <w:name w:val="Основной текст (2)"/>
    <w:basedOn w:val="Normal"/>
    <w:link w:val="2"/>
    <w:qFormat/>
    <w:rsid w:val="009d3d5e"/>
    <w:pPr>
      <w:widowControl w:val="false"/>
      <w:shd w:val="clear" w:color="auto" w:fill="FFFFFF"/>
      <w:spacing w:lineRule="exact" w:line="312" w:before="240" w:after="0"/>
      <w:ind w:hanging="0"/>
    </w:pPr>
    <w:rPr>
      <w:rFonts w:ascii="Calibri" w:hAnsi="Calibri" w:eastAsia="Calibri" w:cs="" w:asciiTheme="minorHAnsi" w:cstheme="minorBidi" w:eastAsiaTheme="minorHAnsi" w:hAnsiTheme="minorHAnsi"/>
      <w:sz w:val="26"/>
      <w:szCs w:val="26"/>
      <w:lang w:eastAsia="en-US"/>
    </w:rPr>
  </w:style>
  <w:style w:type="paragraph" w:styleId="Rvps7" w:customStyle="1">
    <w:name w:val="rvps7"/>
    <w:basedOn w:val="Normal"/>
    <w:qFormat/>
    <w:rsid w:val="00a15bcc"/>
    <w:pPr>
      <w:spacing w:beforeAutospacing="1" w:afterAutospacing="1"/>
      <w:ind w:hanging="0"/>
      <w:jc w:val="left"/>
    </w:pPr>
    <w:rPr>
      <w:sz w:val="24"/>
      <w:szCs w:val="24"/>
    </w:rPr>
  </w:style>
  <w:style w:type="paragraph" w:styleId="Style29" w:customStyle="1">
    <w:name w:val="Текст у вказаному форматі"/>
    <w:basedOn w:val="Normal"/>
    <w:qFormat/>
    <w:rsid w:val="008d113b"/>
    <w:pPr>
      <w:suppressAutoHyphens w:val="true"/>
      <w:ind w:hanging="0"/>
      <w:jc w:val="left"/>
    </w:pPr>
    <w:rPr>
      <w:rFonts w:ascii="Liberation Mono" w:hAnsi="Liberation Mono" w:eastAsia="Liberation Mono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adry@lg.pfu.gov.ua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9CA0D-84C8-401B-B7D7-B9DCFCEB0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LibreOffice/7.4.3.2$Windows_X86_64 LibreOffice_project/1048a8393ae2eeec98dff31b5c133c5f1d08b890</Application>
  <AppVersion>15.0000</AppVersion>
  <Pages>6</Pages>
  <Words>936</Words>
  <Characters>6700</Characters>
  <CharactersWithSpaces>7558</CharactersWithSpaces>
  <Paragraphs>93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2024-08-28T13:59:00Z</dcterms:created>
  <dc:creator>Людмила Миколаївна Грекова</dc:creator>
  <dc:description/>
  <dc:language>uk-UA</dc:language>
  <cp:lastModifiedBy/>
  <cp:lastPrinted>2021-03-17T14:51:00Z</cp:lastPrinted>
  <dcterms:modified xsi:type="dcterms:W3CDTF">2024-11-27T09:55:52Z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