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Style17"/>
        <w:widowControl/>
        <w:suppressAutoHyphens w:val="true"/>
        <w:bidi w:val="0"/>
        <w:spacing w:lineRule="auto" w:line="240" w:before="0" w:after="0"/>
        <w:ind w:left="0" w:right="0" w:firstLine="5669"/>
        <w:jc w:val="both"/>
        <w:rPr>
          <w:rFonts w:ascii="Times New Roman" w:hAnsi="Times New Roman"/>
          <w:sz w:val="28"/>
          <w:szCs w:val="28"/>
        </w:rPr>
      </w:pPr>
      <w:r>
        <w:rPr>
          <w:sz w:val="28"/>
          <w:szCs w:val="28"/>
        </w:rPr>
        <w:t>Додаток</w:t>
      </w:r>
    </w:p>
    <w:p>
      <w:pPr>
        <w:pStyle w:val="Style17"/>
        <w:widowControl/>
        <w:suppressAutoHyphens w:val="true"/>
        <w:bidi w:val="0"/>
        <w:spacing w:lineRule="auto" w:line="240" w:before="0" w:after="0"/>
        <w:ind w:left="0" w:right="0" w:firstLine="5669"/>
        <w:jc w:val="both"/>
        <w:rPr>
          <w:rFonts w:ascii="Times New Roman" w:hAnsi="Times New Roman"/>
          <w:sz w:val="28"/>
          <w:szCs w:val="28"/>
        </w:rPr>
      </w:pPr>
      <w:r>
        <w:rPr>
          <w:sz w:val="28"/>
          <w:szCs w:val="28"/>
        </w:rPr>
        <w:t>до службової записки</w:t>
      </w:r>
    </w:p>
    <w:p>
      <w:pPr>
        <w:pStyle w:val="Style17"/>
        <w:widowControl/>
        <w:suppressAutoHyphens w:val="true"/>
        <w:bidi w:val="0"/>
        <w:spacing w:lineRule="auto" w:line="240" w:before="0" w:after="0"/>
        <w:ind w:left="0" w:right="0" w:firstLine="5669"/>
        <w:jc w:val="both"/>
        <w:rPr>
          <w:rFonts w:ascii="Times New Roman" w:hAnsi="Times New Roman"/>
          <w:sz w:val="28"/>
          <w:szCs w:val="28"/>
        </w:rPr>
      </w:pPr>
      <w:r>
        <w:rPr>
          <w:sz w:val="28"/>
          <w:szCs w:val="28"/>
        </w:rPr>
        <w:t>від______________№_________</w:t>
      </w:r>
    </w:p>
    <w:p>
      <w:pPr>
        <w:pStyle w:val="Style17"/>
        <w:spacing w:lineRule="auto" w:line="240" w:before="0" w:after="0"/>
        <w:jc w:val="both"/>
        <w:rPr>
          <w:rFonts w:ascii="Times New Roman" w:hAnsi="Times New Roman"/>
          <w:b/>
          <w:b/>
          <w:bCs/>
          <w:sz w:val="28"/>
          <w:szCs w:val="28"/>
        </w:rPr>
      </w:pPr>
      <w:r>
        <w:rPr>
          <w:b/>
          <w:bCs/>
          <w:sz w:val="28"/>
          <w:szCs w:val="28"/>
        </w:rPr>
      </w:r>
    </w:p>
    <w:p>
      <w:pPr>
        <w:pStyle w:val="Style17"/>
        <w:spacing w:lineRule="auto" w:line="240" w:before="0" w:after="0"/>
        <w:jc w:val="center"/>
        <w:rPr>
          <w:rFonts w:ascii="Times New Roman" w:hAnsi="Times New Roman"/>
          <w:sz w:val="28"/>
          <w:szCs w:val="28"/>
        </w:rPr>
      </w:pPr>
      <w:r>
        <w:rPr>
          <w:b/>
          <w:bCs/>
          <w:sz w:val="28"/>
          <w:szCs w:val="28"/>
        </w:rPr>
        <w:t>Умови</w:t>
      </w:r>
    </w:p>
    <w:p>
      <w:pPr>
        <w:pStyle w:val="Style17"/>
        <w:spacing w:lineRule="auto" w:line="240" w:before="0" w:after="0"/>
        <w:jc w:val="center"/>
        <w:rPr>
          <w:rFonts w:ascii="Times New Roman" w:hAnsi="Times New Roman"/>
          <w:sz w:val="28"/>
          <w:szCs w:val="28"/>
        </w:rPr>
      </w:pPr>
      <w:r>
        <w:rPr>
          <w:b/>
          <w:bCs/>
          <w:sz w:val="28"/>
          <w:szCs w:val="28"/>
        </w:rPr>
        <w:t xml:space="preserve"> </w:t>
      </w:r>
      <w:r>
        <w:rPr>
          <w:b/>
          <w:bCs/>
          <w:sz w:val="28"/>
          <w:szCs w:val="28"/>
        </w:rPr>
        <w:t>проведення добору на зайняття посади архіваріуса загального відділу Управління документального забезпечення Головного управління Пенсійного фонду України в Луганській області   ( 1 посада )</w:t>
      </w:r>
    </w:p>
    <w:p>
      <w:pPr>
        <w:pStyle w:val="Style17"/>
        <w:spacing w:lineRule="auto" w:line="240" w:before="0" w:after="0"/>
        <w:jc w:val="center"/>
        <w:rPr>
          <w:rFonts w:ascii="Times New Roman" w:hAnsi="Times New Roman"/>
          <w:b/>
          <w:b/>
          <w:bCs/>
          <w:sz w:val="28"/>
          <w:szCs w:val="28"/>
        </w:rPr>
      </w:pPr>
      <w:r>
        <w:rPr>
          <w:b/>
          <w:bCs/>
          <w:sz w:val="28"/>
          <w:szCs w:val="28"/>
        </w:rPr>
      </w:r>
    </w:p>
    <w:tbl>
      <w:tblPr>
        <w:tblW w:w="9615" w:type="dxa"/>
        <w:jc w:val="left"/>
        <w:tblInd w:w="-7" w:type="dxa"/>
        <w:tblLayout w:type="fixed"/>
        <w:tblCellMar>
          <w:top w:w="55" w:type="dxa"/>
          <w:left w:w="2" w:type="dxa"/>
          <w:bottom w:w="55" w:type="dxa"/>
          <w:right w:w="53" w:type="dxa"/>
        </w:tblCellMar>
        <w:tblLook w:firstRow="1" w:noVBand="1" w:lastRow="0" w:firstColumn="1" w:lastColumn="0" w:noHBand="0" w:val="04a0"/>
      </w:tblPr>
      <w:tblGrid>
        <w:gridCol w:w="546"/>
        <w:gridCol w:w="2619"/>
        <w:gridCol w:w="231"/>
        <w:gridCol w:w="6219"/>
      </w:tblGrid>
      <w:tr>
        <w:trPr>
          <w:trHeight w:val="354" w:hRule="atLeast"/>
        </w:trPr>
        <w:tc>
          <w:tcPr>
            <w:tcW w:w="9615" w:type="dxa"/>
            <w:gridSpan w:val="4"/>
            <w:tcBorders>
              <w:top w:val="single" w:sz="2" w:space="0" w:color="000001"/>
              <w:left w:val="single" w:sz="2" w:space="0" w:color="000001"/>
              <w:bottom w:val="single" w:sz="2" w:space="0" w:color="000001"/>
              <w:right w:val="single" w:sz="2" w:space="0" w:color="000001"/>
            </w:tcBorders>
            <w:shd w:color="auto" w:fill="FFFFFF" w:val="clear"/>
          </w:tcPr>
          <w:p>
            <w:pPr>
              <w:pStyle w:val="Style17"/>
              <w:widowControl w:val="false"/>
              <w:spacing w:lineRule="auto" w:line="240" w:before="0" w:after="0"/>
              <w:jc w:val="center"/>
              <w:rPr>
                <w:rFonts w:ascii="Times New Roman" w:hAnsi="Times New Roman"/>
                <w:sz w:val="28"/>
                <w:szCs w:val="28"/>
              </w:rPr>
            </w:pPr>
            <w:r>
              <w:rPr>
                <w:b/>
                <w:bCs/>
                <w:sz w:val="28"/>
                <w:szCs w:val="28"/>
              </w:rPr>
              <w:t>Загальні умови</w:t>
            </w:r>
          </w:p>
        </w:tc>
      </w:tr>
      <w:tr>
        <w:trPr/>
        <w:tc>
          <w:tcPr>
            <w:tcW w:w="3165" w:type="dxa"/>
            <w:gridSpan w:val="2"/>
            <w:tcBorders>
              <w:top w:val="single" w:sz="2" w:space="0" w:color="000001"/>
              <w:left w:val="single" w:sz="2" w:space="0" w:color="000001"/>
              <w:bottom w:val="single" w:sz="2" w:space="0" w:color="000001"/>
            </w:tcBorders>
            <w:shd w:color="auto" w:fill="FFFFFF" w:val="clear"/>
            <w:tcMar>
              <w:left w:w="43" w:type="dxa"/>
              <w:right w:w="55" w:type="dxa"/>
            </w:tcMar>
          </w:tcPr>
          <w:p>
            <w:pPr>
              <w:pStyle w:val="Style17"/>
              <w:widowControl w:val="false"/>
              <w:spacing w:lineRule="auto" w:line="240" w:before="0" w:after="0"/>
              <w:jc w:val="left"/>
              <w:rPr>
                <w:rFonts w:ascii="Times New Roman" w:hAnsi="Times New Roman"/>
                <w:sz w:val="28"/>
                <w:szCs w:val="28"/>
              </w:rPr>
            </w:pPr>
            <w:r>
              <w:rPr>
                <w:b/>
                <w:bCs/>
                <w:color w:val="000000"/>
                <w:sz w:val="28"/>
                <w:szCs w:val="28"/>
              </w:rPr>
              <w:t>Посадові обов’язки</w:t>
            </w:r>
          </w:p>
        </w:tc>
        <w:tc>
          <w:tcPr>
            <w:tcW w:w="6450" w:type="dxa"/>
            <w:gridSpan w:val="2"/>
            <w:tcBorders>
              <w:top w:val="single" w:sz="2" w:space="0" w:color="000001"/>
              <w:left w:val="single" w:sz="2" w:space="0" w:color="000001"/>
              <w:bottom w:val="single" w:sz="2" w:space="0" w:color="000001"/>
              <w:right w:val="single" w:sz="2" w:space="0" w:color="000001"/>
            </w:tcBorders>
            <w:tcMar>
              <w:left w:w="43" w:type="dxa"/>
              <w:right w:w="55" w:type="dxa"/>
            </w:tcMar>
          </w:tcPr>
          <w:p>
            <w:pPr>
              <w:pStyle w:val="Style17"/>
              <w:widowControl w:val="false"/>
              <w:suppressAutoHyphens w:val="true"/>
              <w:bidi w:val="0"/>
              <w:spacing w:lineRule="auto" w:line="240" w:before="0" w:after="0"/>
              <w:ind w:left="0" w:right="0" w:firstLine="567"/>
              <w:jc w:val="both"/>
              <w:rPr>
                <w:rFonts w:ascii="Times New Roman" w:hAnsi="Times New Roman"/>
                <w:sz w:val="28"/>
                <w:szCs w:val="28"/>
              </w:rPr>
            </w:pPr>
            <w:r>
              <w:rPr>
                <w:color w:val="000000"/>
                <w:sz w:val="28"/>
                <w:szCs w:val="28"/>
              </w:rPr>
              <w:t>забезпечення додержання єдиного порядку відбору, упорядкування, обліку, збереження та використання документів, що створюються в процесі діяльності Головного управління, для передачі їх на зберігання до архівних установ;</w:t>
            </w:r>
          </w:p>
          <w:p>
            <w:pPr>
              <w:pStyle w:val="Style17"/>
              <w:widowControl w:val="false"/>
              <w:suppressAutoHyphens w:val="true"/>
              <w:bidi w:val="0"/>
              <w:spacing w:lineRule="auto" w:line="240" w:before="0" w:after="0"/>
              <w:ind w:left="0" w:right="0" w:firstLine="567"/>
              <w:jc w:val="both"/>
              <w:rPr>
                <w:rFonts w:ascii="Times New Roman" w:hAnsi="Times New Roman"/>
                <w:sz w:val="28"/>
                <w:szCs w:val="28"/>
              </w:rPr>
            </w:pPr>
            <w:r>
              <w:rPr>
                <w:color w:val="000000"/>
                <w:sz w:val="28"/>
                <w:szCs w:val="28"/>
              </w:rPr>
              <w:t>прийняття участі:</w:t>
            </w:r>
          </w:p>
          <w:p>
            <w:pPr>
              <w:pStyle w:val="Style17"/>
              <w:widowControl w:val="false"/>
              <w:suppressAutoHyphens w:val="true"/>
              <w:bidi w:val="0"/>
              <w:spacing w:lineRule="auto" w:line="240" w:before="0" w:after="0"/>
              <w:ind w:left="0" w:right="0" w:firstLine="567"/>
              <w:jc w:val="both"/>
              <w:rPr>
                <w:rFonts w:ascii="Times New Roman" w:hAnsi="Times New Roman"/>
                <w:sz w:val="28"/>
                <w:szCs w:val="28"/>
              </w:rPr>
            </w:pPr>
            <w:r>
              <w:rPr>
                <w:color w:val="000000"/>
                <w:sz w:val="28"/>
                <w:szCs w:val="28"/>
              </w:rPr>
              <w:t>у розробленні зведеної номенклатури справ Головного управління, перевірці правильності формування та оформлення справ під час їх передавання до архіву;</w:t>
            </w:r>
          </w:p>
          <w:p>
            <w:pPr>
              <w:pStyle w:val="Style17"/>
              <w:widowControl w:val="false"/>
              <w:suppressAutoHyphens w:val="true"/>
              <w:bidi w:val="0"/>
              <w:spacing w:lineRule="auto" w:line="240" w:before="0" w:after="0"/>
              <w:ind w:left="0" w:right="0" w:firstLine="567"/>
              <w:jc w:val="both"/>
              <w:rPr>
                <w:rFonts w:ascii="Times New Roman" w:hAnsi="Times New Roman"/>
                <w:sz w:val="28"/>
                <w:szCs w:val="28"/>
              </w:rPr>
            </w:pPr>
            <w:r>
              <w:rPr>
                <w:color w:val="000000"/>
                <w:sz w:val="28"/>
                <w:szCs w:val="28"/>
              </w:rPr>
              <w:t>у роботі експертної комісії з метою проведення експертизи цінності архівних документів, формування документів у справи постійного, тривалого (понад 10 років) термінів зберігання;</w:t>
            </w:r>
          </w:p>
          <w:p>
            <w:pPr>
              <w:pStyle w:val="Style17"/>
              <w:widowControl w:val="false"/>
              <w:suppressAutoHyphens w:val="true"/>
              <w:bidi w:val="0"/>
              <w:spacing w:lineRule="auto" w:line="240" w:before="0" w:after="0"/>
              <w:ind w:left="0" w:right="0" w:firstLine="567"/>
              <w:jc w:val="both"/>
              <w:rPr>
                <w:rFonts w:ascii="Times New Roman" w:hAnsi="Times New Roman"/>
                <w:sz w:val="28"/>
                <w:szCs w:val="28"/>
              </w:rPr>
            </w:pPr>
            <w:r>
              <w:rPr>
                <w:color w:val="000000"/>
                <w:sz w:val="28"/>
                <w:szCs w:val="28"/>
              </w:rPr>
              <w:t>в організації та проведенні семінарів з працівниками Головного управління з питань діловодства та ведення архіву.</w:t>
            </w:r>
          </w:p>
          <w:p>
            <w:pPr>
              <w:pStyle w:val="Style17"/>
              <w:widowControl w:val="false"/>
              <w:suppressAutoHyphens w:val="true"/>
              <w:bidi w:val="0"/>
              <w:spacing w:lineRule="auto" w:line="240" w:before="0" w:after="0"/>
              <w:ind w:left="0" w:right="0" w:firstLine="567"/>
              <w:jc w:val="both"/>
              <w:rPr>
                <w:rFonts w:ascii="Times New Roman" w:hAnsi="Times New Roman"/>
                <w:sz w:val="28"/>
                <w:szCs w:val="28"/>
              </w:rPr>
            </w:pPr>
            <w:r>
              <w:rPr>
                <w:color w:val="000000"/>
                <w:sz w:val="28"/>
                <w:szCs w:val="28"/>
              </w:rPr>
              <w:t>підготовка зведених описів справ постійного та тривалого (понад 10 років) зберігання та актів про вилучення для знищення документів, не внесених до Національного архівного фонду, ведення обліку справ тимчасового (до 10 років включно) зберігання;</w:t>
            </w:r>
          </w:p>
          <w:p>
            <w:pPr>
              <w:pStyle w:val="Style17"/>
              <w:widowControl w:val="false"/>
              <w:suppressAutoHyphens w:val="true"/>
              <w:bidi w:val="0"/>
              <w:spacing w:lineRule="auto" w:line="240" w:before="0" w:after="0"/>
              <w:ind w:left="0" w:right="0" w:firstLine="567"/>
              <w:jc w:val="both"/>
              <w:rPr>
                <w:rFonts w:ascii="Times New Roman" w:hAnsi="Times New Roman"/>
                <w:sz w:val="28"/>
                <w:szCs w:val="28"/>
              </w:rPr>
            </w:pPr>
            <w:r>
              <w:rPr>
                <w:color w:val="000000"/>
                <w:sz w:val="28"/>
                <w:szCs w:val="28"/>
              </w:rPr>
              <w:t>надання методичної допомоги у складанні номенклатури справ та описів справ постійного, тривалого і тимчасового термінів зберігання структурних підрозділів;</w:t>
            </w:r>
          </w:p>
          <w:p>
            <w:pPr>
              <w:pStyle w:val="Style17"/>
              <w:widowControl w:val="false"/>
              <w:suppressAutoHyphens w:val="true"/>
              <w:bidi w:val="0"/>
              <w:spacing w:lineRule="auto" w:line="240" w:before="0" w:after="0"/>
              <w:ind w:left="0" w:right="0" w:firstLine="567"/>
              <w:jc w:val="both"/>
              <w:rPr>
                <w:rFonts w:ascii="Times New Roman" w:hAnsi="Times New Roman"/>
                <w:sz w:val="28"/>
                <w:szCs w:val="28"/>
              </w:rPr>
            </w:pPr>
            <w:r>
              <w:rPr>
                <w:color w:val="000000"/>
                <w:sz w:val="28"/>
                <w:szCs w:val="28"/>
              </w:rPr>
              <w:t>організація і забезпечення зберігання документів, які надійшли до архіву;</w:t>
            </w:r>
          </w:p>
          <w:p>
            <w:pPr>
              <w:pStyle w:val="Style17"/>
              <w:widowControl w:val="false"/>
              <w:suppressAutoHyphens w:val="true"/>
              <w:bidi w:val="0"/>
              <w:spacing w:lineRule="auto" w:line="240" w:before="0" w:after="0"/>
              <w:ind w:left="0" w:right="0" w:firstLine="567"/>
              <w:jc w:val="both"/>
              <w:rPr>
                <w:rFonts w:ascii="Times New Roman" w:hAnsi="Times New Roman"/>
                <w:sz w:val="28"/>
                <w:szCs w:val="28"/>
              </w:rPr>
            </w:pPr>
            <w:r>
              <w:rPr>
                <w:color w:val="000000"/>
                <w:sz w:val="28"/>
                <w:szCs w:val="28"/>
              </w:rPr>
              <w:t>систематизація і розміщення справ, ведення їх обліку;</w:t>
            </w:r>
          </w:p>
          <w:p>
            <w:pPr>
              <w:pStyle w:val="Style17"/>
              <w:widowControl w:val="false"/>
              <w:suppressAutoHyphens w:val="true"/>
              <w:bidi w:val="0"/>
              <w:spacing w:lineRule="auto" w:line="240" w:before="0" w:after="0"/>
              <w:ind w:left="0" w:right="0" w:firstLine="567"/>
              <w:jc w:val="both"/>
              <w:rPr>
                <w:rFonts w:ascii="Times New Roman" w:hAnsi="Times New Roman"/>
                <w:sz w:val="28"/>
                <w:szCs w:val="28"/>
              </w:rPr>
            </w:pPr>
            <w:r>
              <w:rPr>
                <w:color w:val="000000"/>
                <w:sz w:val="28"/>
                <w:szCs w:val="28"/>
              </w:rPr>
              <w:t>моніторинг за станом документів, їхнім своєчасним відновленням, дотриманням у приміщеннях архіву умов, необхідних для забезпечення їхнього збереження;</w:t>
            </w:r>
          </w:p>
          <w:p>
            <w:pPr>
              <w:pStyle w:val="Style17"/>
              <w:widowControl w:val="false"/>
              <w:suppressAutoHyphens w:val="true"/>
              <w:bidi w:val="0"/>
              <w:spacing w:lineRule="auto" w:line="240" w:before="0" w:after="0"/>
              <w:ind w:left="0" w:right="0" w:firstLine="567"/>
              <w:jc w:val="both"/>
              <w:rPr>
                <w:rFonts w:ascii="Times New Roman" w:hAnsi="Times New Roman"/>
                <w:sz w:val="28"/>
                <w:szCs w:val="28"/>
              </w:rPr>
            </w:pPr>
            <w:r>
              <w:rPr>
                <w:color w:val="000000"/>
                <w:sz w:val="28"/>
                <w:szCs w:val="28"/>
              </w:rPr>
              <w:t>підготовка необхідних даних для складання звітності щодо роботи архіву;</w:t>
            </w:r>
          </w:p>
          <w:p>
            <w:pPr>
              <w:pStyle w:val="Style17"/>
              <w:widowControl w:val="false"/>
              <w:suppressAutoHyphens w:val="true"/>
              <w:bidi w:val="0"/>
              <w:spacing w:lineRule="auto" w:line="240" w:before="0" w:after="0"/>
              <w:ind w:left="0" w:right="0" w:firstLine="567"/>
              <w:jc w:val="both"/>
              <w:rPr>
                <w:rFonts w:ascii="Times New Roman" w:hAnsi="Times New Roman"/>
                <w:sz w:val="28"/>
                <w:szCs w:val="28"/>
              </w:rPr>
            </w:pPr>
            <w:r>
              <w:rPr>
                <w:color w:val="000000"/>
                <w:sz w:val="28"/>
                <w:szCs w:val="28"/>
              </w:rPr>
              <w:t>видача архівних копій та документів, підготовка необхідних довідок на основі відомостей, які є в документах архіву, ведення їх обліку;</w:t>
            </w:r>
          </w:p>
          <w:p>
            <w:pPr>
              <w:pStyle w:val="Style17"/>
              <w:widowControl w:val="false"/>
              <w:suppressAutoHyphens w:val="true"/>
              <w:bidi w:val="0"/>
              <w:spacing w:lineRule="auto" w:line="240" w:before="0" w:after="0"/>
              <w:ind w:left="0" w:right="0" w:firstLine="567"/>
              <w:jc w:val="both"/>
              <w:rPr>
                <w:rFonts w:ascii="Times New Roman" w:hAnsi="Times New Roman"/>
                <w:sz w:val="28"/>
                <w:szCs w:val="28"/>
              </w:rPr>
            </w:pPr>
            <w:r>
              <w:rPr>
                <w:color w:val="000000"/>
                <w:sz w:val="28"/>
                <w:szCs w:val="28"/>
              </w:rPr>
              <w:t>співпраця з державним архівом в частині ведення архівної справи та отримання необхідних консультацій;</w:t>
            </w:r>
          </w:p>
          <w:p>
            <w:pPr>
              <w:pStyle w:val="Style17"/>
              <w:widowControl w:val="false"/>
              <w:suppressAutoHyphens w:val="true"/>
              <w:bidi w:val="0"/>
              <w:spacing w:lineRule="auto" w:line="240" w:before="0" w:after="0"/>
              <w:ind w:left="0" w:right="0" w:firstLine="567"/>
              <w:jc w:val="both"/>
              <w:rPr>
                <w:rFonts w:ascii="Times New Roman" w:hAnsi="Times New Roman"/>
                <w:sz w:val="28"/>
                <w:szCs w:val="28"/>
              </w:rPr>
            </w:pPr>
            <w:r>
              <w:rPr>
                <w:color w:val="000000"/>
                <w:sz w:val="28"/>
                <w:szCs w:val="28"/>
              </w:rPr>
              <w:t>виконання вимог законодавства про запобігання корупції;</w:t>
            </w:r>
          </w:p>
          <w:p>
            <w:pPr>
              <w:pStyle w:val="Style17"/>
              <w:widowControl w:val="false"/>
              <w:suppressAutoHyphens w:val="true"/>
              <w:bidi w:val="0"/>
              <w:spacing w:lineRule="auto" w:line="240" w:before="0" w:after="0"/>
              <w:ind w:left="0" w:right="0" w:firstLine="567"/>
              <w:jc w:val="both"/>
              <w:rPr>
                <w:rFonts w:ascii="Times New Roman" w:hAnsi="Times New Roman"/>
                <w:sz w:val="28"/>
                <w:szCs w:val="28"/>
              </w:rPr>
            </w:pPr>
            <w:r>
              <w:rPr>
                <w:color w:val="000000"/>
                <w:sz w:val="28"/>
                <w:szCs w:val="28"/>
              </w:rPr>
              <w:t>дотримання законодавства про інформацію, доступу до публічної інформації й персональних даних;</w:t>
            </w:r>
          </w:p>
          <w:p>
            <w:pPr>
              <w:pStyle w:val="Style17"/>
              <w:widowControl w:val="false"/>
              <w:suppressAutoHyphens w:val="true"/>
              <w:bidi w:val="0"/>
              <w:spacing w:lineRule="auto" w:line="240" w:before="0" w:after="0"/>
              <w:ind w:left="0" w:right="0" w:firstLine="567"/>
              <w:jc w:val="both"/>
              <w:rPr>
                <w:rFonts w:ascii="Times New Roman" w:hAnsi="Times New Roman"/>
                <w:sz w:val="28"/>
                <w:szCs w:val="28"/>
              </w:rPr>
            </w:pPr>
            <w:r>
              <w:rPr>
                <w:color w:val="000000"/>
                <w:sz w:val="28"/>
                <w:szCs w:val="28"/>
              </w:rPr>
              <w:t>виконання вимог щодо збереження інформації та запобігання несанкціонованого доступу до неї;</w:t>
            </w:r>
          </w:p>
          <w:p>
            <w:pPr>
              <w:pStyle w:val="Style17"/>
              <w:widowControl w:val="false"/>
              <w:suppressAutoHyphens w:val="true"/>
              <w:bidi w:val="0"/>
              <w:spacing w:lineRule="auto" w:line="240" w:before="0" w:after="0"/>
              <w:ind w:left="0" w:right="0" w:firstLine="567"/>
              <w:jc w:val="both"/>
              <w:rPr>
                <w:rFonts w:ascii="Times New Roman" w:hAnsi="Times New Roman"/>
                <w:sz w:val="28"/>
                <w:szCs w:val="28"/>
              </w:rPr>
            </w:pPr>
            <w:r>
              <w:rPr>
                <w:color w:val="000000"/>
                <w:sz w:val="28"/>
                <w:szCs w:val="28"/>
              </w:rPr>
              <w:t>виконання доручень начальника загального відділу або його заступника в межах компетенції;</w:t>
            </w:r>
          </w:p>
          <w:p>
            <w:pPr>
              <w:pStyle w:val="Style17"/>
              <w:widowControl w:val="false"/>
              <w:suppressAutoHyphens w:val="true"/>
              <w:bidi w:val="0"/>
              <w:spacing w:lineRule="auto" w:line="240" w:before="0" w:after="0"/>
              <w:ind w:left="0" w:right="0" w:firstLine="567"/>
              <w:jc w:val="both"/>
              <w:rPr>
                <w:rFonts w:ascii="Times New Roman" w:hAnsi="Times New Roman"/>
                <w:sz w:val="28"/>
                <w:szCs w:val="28"/>
              </w:rPr>
            </w:pPr>
            <w:r>
              <w:rPr>
                <w:color w:val="000000"/>
                <w:sz w:val="28"/>
                <w:szCs w:val="28"/>
              </w:rPr>
              <w:t>дотримання правил внутрішнього службового розпорядку.</w:t>
            </w:r>
          </w:p>
          <w:p>
            <w:pPr>
              <w:pStyle w:val="Style17"/>
              <w:widowControl w:val="false"/>
              <w:suppressAutoHyphens w:val="true"/>
              <w:bidi w:val="0"/>
              <w:spacing w:lineRule="auto" w:line="240" w:before="0" w:after="0"/>
              <w:ind w:left="0" w:right="0" w:firstLine="567"/>
              <w:jc w:val="both"/>
              <w:rPr>
                <w:rFonts w:ascii="Times New Roman" w:hAnsi="Times New Roman"/>
                <w:sz w:val="28"/>
                <w:szCs w:val="28"/>
              </w:rPr>
            </w:pPr>
            <w:r>
              <w:rPr>
                <w:rFonts w:eastAsia="Times New Roman CYR" w:cs="Times New Roman CYR"/>
                <w:bCs/>
                <w:color w:val="000000"/>
                <w:sz w:val="28"/>
                <w:szCs w:val="28"/>
                <w:lang w:eastAsia="zh-CN"/>
              </w:rPr>
              <w:t>Місце розташування посади: віддалене, в сервісному центрі Пенсійного фонду України за місцем дислокації. У разі відсутності можливості надання такого місця розташування посади бути готовим до переїзду</w:t>
            </w:r>
          </w:p>
        </w:tc>
      </w:tr>
      <w:tr>
        <w:trPr/>
        <w:tc>
          <w:tcPr>
            <w:tcW w:w="3165" w:type="dxa"/>
            <w:gridSpan w:val="2"/>
            <w:tcBorders>
              <w:top w:val="single" w:sz="2" w:space="0" w:color="000001"/>
              <w:left w:val="single" w:sz="2" w:space="0" w:color="000001"/>
              <w:bottom w:val="single" w:sz="2" w:space="0" w:color="000001"/>
            </w:tcBorders>
            <w:shd w:color="auto" w:fill="FFFFFF" w:val="clear"/>
          </w:tcPr>
          <w:p>
            <w:pPr>
              <w:pStyle w:val="Style17"/>
              <w:widowControl w:val="false"/>
              <w:spacing w:lineRule="auto" w:line="240" w:before="0" w:after="0"/>
              <w:jc w:val="left"/>
              <w:rPr>
                <w:rFonts w:ascii="Times New Roman" w:hAnsi="Times New Roman"/>
                <w:sz w:val="28"/>
                <w:szCs w:val="28"/>
              </w:rPr>
            </w:pPr>
            <w:r>
              <w:rPr>
                <w:b/>
                <w:bCs/>
                <w:color w:val="000000"/>
                <w:sz w:val="28"/>
                <w:szCs w:val="28"/>
              </w:rPr>
              <w:t>Умови оплати праці</w:t>
            </w:r>
          </w:p>
        </w:tc>
        <w:tc>
          <w:tcPr>
            <w:tcW w:w="6450" w:type="dxa"/>
            <w:gridSpan w:val="2"/>
            <w:tcBorders>
              <w:top w:val="single" w:sz="2" w:space="0" w:color="000001"/>
              <w:left w:val="single" w:sz="2" w:space="0" w:color="000001"/>
              <w:bottom w:val="single" w:sz="2" w:space="0" w:color="000001"/>
              <w:right w:val="single" w:sz="2" w:space="0" w:color="000001"/>
            </w:tcBorders>
            <w:shd w:color="auto" w:fill="FFFFFF" w:val="clear"/>
          </w:tcPr>
          <w:p>
            <w:pPr>
              <w:pStyle w:val="Style17"/>
              <w:widowControl w:val="false"/>
              <w:suppressAutoHyphens w:val="true"/>
              <w:bidi w:val="0"/>
              <w:spacing w:lineRule="auto" w:line="240" w:before="0" w:after="0"/>
              <w:ind w:left="0" w:right="0" w:firstLine="567"/>
              <w:jc w:val="both"/>
              <w:rPr>
                <w:rFonts w:ascii="Times New Roman" w:hAnsi="Times New Roman"/>
                <w:sz w:val="28"/>
                <w:szCs w:val="28"/>
              </w:rPr>
            </w:pPr>
            <w:r>
              <w:rPr>
                <w:color w:val="000000"/>
                <w:sz w:val="28"/>
                <w:szCs w:val="28"/>
              </w:rPr>
              <w:t>посадовий оклад – 6177 грн., надбавки  відповідно до постанови Кабінету Міністрів України від 24 грудня 2019 року № 1112  “Про умови оплати праці працівників державних органів, на яких не поширюється дія Закону України “Про державну службу” (із змінами)</w:t>
            </w:r>
          </w:p>
          <w:p>
            <w:pPr>
              <w:pStyle w:val="Style17"/>
              <w:widowControl w:val="false"/>
              <w:suppressAutoHyphens w:val="true"/>
              <w:bidi w:val="0"/>
              <w:spacing w:lineRule="auto" w:line="240" w:before="0" w:after="0"/>
              <w:ind w:left="0" w:right="0" w:firstLine="567"/>
              <w:jc w:val="both"/>
              <w:rPr>
                <w:rFonts w:ascii="Times New Roman" w:hAnsi="Times New Roman"/>
                <w:sz w:val="28"/>
                <w:szCs w:val="28"/>
              </w:rPr>
            </w:pPr>
            <w:r>
              <w:rPr>
                <w:sz w:val="28"/>
                <w:szCs w:val="28"/>
              </w:rPr>
            </w:r>
          </w:p>
        </w:tc>
      </w:tr>
      <w:tr>
        <w:trPr/>
        <w:tc>
          <w:tcPr>
            <w:tcW w:w="3165" w:type="dxa"/>
            <w:gridSpan w:val="2"/>
            <w:tcBorders>
              <w:top w:val="single" w:sz="2" w:space="0" w:color="000001"/>
              <w:left w:val="single" w:sz="2" w:space="0" w:color="000001"/>
              <w:bottom w:val="single" w:sz="2" w:space="0" w:color="000001"/>
            </w:tcBorders>
            <w:shd w:color="auto" w:fill="FFFFFF" w:val="clear"/>
          </w:tcPr>
          <w:p>
            <w:pPr>
              <w:pStyle w:val="Style17"/>
              <w:widowControl w:val="false"/>
              <w:spacing w:lineRule="auto" w:line="240" w:before="0" w:after="0"/>
              <w:jc w:val="left"/>
              <w:rPr>
                <w:rFonts w:ascii="Times New Roman" w:hAnsi="Times New Roman"/>
                <w:sz w:val="28"/>
                <w:szCs w:val="28"/>
              </w:rPr>
            </w:pPr>
            <w:r>
              <w:rPr>
                <w:b/>
                <w:bCs/>
                <w:color w:val="000000"/>
                <w:sz w:val="28"/>
                <w:szCs w:val="28"/>
              </w:rPr>
              <w:t>Інформація про строковість чи безстроковість призначення на посаду</w:t>
            </w:r>
          </w:p>
        </w:tc>
        <w:tc>
          <w:tcPr>
            <w:tcW w:w="6450" w:type="dxa"/>
            <w:gridSpan w:val="2"/>
            <w:tcBorders>
              <w:top w:val="single" w:sz="2" w:space="0" w:color="000001"/>
              <w:left w:val="single" w:sz="2" w:space="0" w:color="000001"/>
              <w:bottom w:val="single" w:sz="2" w:space="0" w:color="000001"/>
              <w:right w:val="single" w:sz="2" w:space="0" w:color="000001"/>
            </w:tcBorders>
            <w:shd w:color="auto" w:fill="FFFFFF" w:val="clear"/>
            <w:vAlign w:val="center"/>
          </w:tcPr>
          <w:p>
            <w:pPr>
              <w:pStyle w:val="Style17"/>
              <w:widowControl w:val="false"/>
              <w:suppressAutoHyphens w:val="true"/>
              <w:bidi w:val="0"/>
              <w:spacing w:lineRule="auto" w:line="240" w:before="0" w:after="0"/>
              <w:ind w:left="0" w:right="0" w:firstLine="567"/>
              <w:jc w:val="both"/>
              <w:rPr>
                <w:rFonts w:ascii="Times New Roman" w:hAnsi="Times New Roman"/>
                <w:sz w:val="28"/>
                <w:szCs w:val="28"/>
              </w:rPr>
            </w:pPr>
            <w:r>
              <w:rPr>
                <w:color w:val="000000"/>
                <w:sz w:val="28"/>
                <w:szCs w:val="28"/>
              </w:rPr>
              <w:t>безстроково</w:t>
            </w:r>
          </w:p>
        </w:tc>
      </w:tr>
      <w:tr>
        <w:trPr/>
        <w:tc>
          <w:tcPr>
            <w:tcW w:w="3165" w:type="dxa"/>
            <w:gridSpan w:val="2"/>
            <w:tcBorders>
              <w:top w:val="single" w:sz="2" w:space="0" w:color="000001"/>
              <w:left w:val="single" w:sz="2" w:space="0" w:color="000001"/>
              <w:bottom w:val="single" w:sz="2" w:space="0" w:color="000001"/>
            </w:tcBorders>
            <w:shd w:color="auto" w:fill="FFFFFF" w:val="clear"/>
          </w:tcPr>
          <w:p>
            <w:pPr>
              <w:pStyle w:val="Style17"/>
              <w:widowControl w:val="false"/>
              <w:spacing w:lineRule="auto" w:line="240" w:before="0" w:after="0"/>
              <w:jc w:val="left"/>
              <w:rPr>
                <w:rFonts w:ascii="Times New Roman" w:hAnsi="Times New Roman"/>
                <w:sz w:val="28"/>
                <w:szCs w:val="28"/>
              </w:rPr>
            </w:pPr>
            <w:r>
              <w:rPr>
                <w:b/>
                <w:bCs/>
                <w:color w:val="000000"/>
                <w:sz w:val="28"/>
                <w:szCs w:val="28"/>
              </w:rPr>
              <w:t>Перелік інформації, необхідної для участі в доборі та строк її подання</w:t>
            </w:r>
          </w:p>
        </w:tc>
        <w:tc>
          <w:tcPr>
            <w:tcW w:w="6450" w:type="dxa"/>
            <w:gridSpan w:val="2"/>
            <w:tcBorders>
              <w:top w:val="single" w:sz="2" w:space="0" w:color="000001"/>
              <w:left w:val="single" w:sz="2" w:space="0" w:color="000001"/>
              <w:bottom w:val="single" w:sz="2" w:space="0" w:color="000001"/>
              <w:right w:val="single" w:sz="2" w:space="0" w:color="000001"/>
            </w:tcBorders>
            <w:shd w:color="auto" w:fill="FFFFFF" w:val="clear"/>
          </w:tcPr>
          <w:p>
            <w:pPr>
              <w:pStyle w:val="Normal"/>
              <w:widowControl w:val="false"/>
              <w:jc w:val="left"/>
              <w:rPr>
                <w:rFonts w:ascii="Times New Roman" w:hAnsi="Times New Roman"/>
                <w:sz w:val="28"/>
                <w:szCs w:val="28"/>
              </w:rPr>
            </w:pPr>
            <w:r>
              <w:rPr>
                <w:sz w:val="28"/>
                <w:szCs w:val="28"/>
                <w:shd w:fill="auto" w:val="clear"/>
              </w:rPr>
              <w:t>1) заяву про участь у доборі із зазначенням основних мотивів щодо зайняття посади (обов’язково вказати адресу електронної пошти та номер телефону).</w:t>
            </w:r>
          </w:p>
          <w:p>
            <w:pPr>
              <w:pStyle w:val="Normal"/>
              <w:widowControl w:val="false"/>
              <w:jc w:val="left"/>
              <w:rPr>
                <w:rFonts w:ascii="Times New Roman" w:hAnsi="Times New Roman"/>
                <w:sz w:val="28"/>
                <w:szCs w:val="28"/>
              </w:rPr>
            </w:pPr>
            <w:r>
              <w:rPr>
                <w:sz w:val="28"/>
                <w:szCs w:val="28"/>
                <w:shd w:fill="auto" w:val="clear"/>
              </w:rPr>
              <w:t>2) резюме за формою згідно з додатком 21 Порядку проведення конкурсу на зайняття посад державної служби, затвердженого постановою Кабінету Міністрів України від 25 березня 2016 року № 246 (зі змінами), в якому обов’язково зазначається така інформація:</w:t>
            </w:r>
          </w:p>
          <w:p>
            <w:pPr>
              <w:pStyle w:val="Normal"/>
              <w:widowControl w:val="false"/>
              <w:jc w:val="left"/>
              <w:rPr>
                <w:rFonts w:ascii="Times New Roman" w:hAnsi="Times New Roman"/>
                <w:sz w:val="28"/>
                <w:szCs w:val="28"/>
              </w:rPr>
            </w:pPr>
            <w:r>
              <w:rPr>
                <w:sz w:val="28"/>
                <w:szCs w:val="28"/>
                <w:shd w:fill="auto" w:val="clear"/>
              </w:rPr>
              <w:t>прізвище, ім’я, по батькові кандидата;</w:t>
            </w:r>
          </w:p>
          <w:p>
            <w:pPr>
              <w:pStyle w:val="Normal"/>
              <w:widowControl w:val="false"/>
              <w:jc w:val="left"/>
              <w:rPr>
                <w:rFonts w:ascii="Times New Roman" w:hAnsi="Times New Roman"/>
                <w:sz w:val="28"/>
                <w:szCs w:val="28"/>
              </w:rPr>
            </w:pPr>
            <w:r>
              <w:rPr>
                <w:sz w:val="28"/>
                <w:szCs w:val="28"/>
                <w:shd w:fill="auto" w:val="clear"/>
              </w:rPr>
              <w:t>реквізити документа, що посвідчує особу та підтверджує громадянство України;</w:t>
            </w:r>
          </w:p>
          <w:p>
            <w:pPr>
              <w:pStyle w:val="Normal"/>
              <w:widowControl w:val="false"/>
              <w:jc w:val="left"/>
              <w:rPr>
                <w:rFonts w:ascii="Times New Roman" w:hAnsi="Times New Roman"/>
                <w:sz w:val="28"/>
                <w:szCs w:val="28"/>
              </w:rPr>
            </w:pPr>
            <w:r>
              <w:rPr>
                <w:sz w:val="28"/>
                <w:szCs w:val="28"/>
                <w:shd w:fill="auto" w:val="clear"/>
              </w:rPr>
              <w:t>підтвердження наявності відповідного ступеня вищої освіти;</w:t>
            </w:r>
          </w:p>
          <w:p>
            <w:pPr>
              <w:pStyle w:val="Normal"/>
              <w:widowControl w:val="false"/>
              <w:jc w:val="left"/>
              <w:rPr>
                <w:rFonts w:ascii="Times New Roman" w:hAnsi="Times New Roman"/>
                <w:sz w:val="28"/>
                <w:szCs w:val="28"/>
              </w:rPr>
            </w:pPr>
            <w:r>
              <w:rPr>
                <w:sz w:val="28"/>
                <w:szCs w:val="28"/>
                <w:shd w:fill="auto" w:val="clear"/>
              </w:rPr>
              <w:t>відомості про стаж роботи, стаж державної служби (за наявності), досвід роботи на відповідних посадах у відповідній сфері, визначеній в умовах конкурсу, та на керівних посадах (за наявності відповідних вимог);</w:t>
            </w:r>
          </w:p>
          <w:p>
            <w:pPr>
              <w:pStyle w:val="Normal"/>
              <w:widowControl w:val="false"/>
              <w:jc w:val="left"/>
              <w:rPr>
                <w:rFonts w:ascii="Times New Roman" w:hAnsi="Times New Roman"/>
                <w:sz w:val="28"/>
                <w:szCs w:val="28"/>
              </w:rPr>
            </w:pPr>
            <w:r>
              <w:rPr>
                <w:sz w:val="28"/>
                <w:szCs w:val="28"/>
                <w:shd w:fill="auto" w:val="clear"/>
                <w:lang w:val="uk-UA" w:eastAsia="ru-RU"/>
              </w:rPr>
              <w:t>3</w:t>
            </w:r>
            <w:r>
              <w:rPr>
                <w:sz w:val="28"/>
                <w:szCs w:val="28"/>
                <w:shd w:fill="auto" w:val="clear"/>
                <w:lang w:val="ru-RU" w:eastAsia="ru-RU"/>
              </w:rPr>
              <w:t xml:space="preserve">) документи приймаються до 17 год. 00 хв.  </w:t>
              <w:br/>
              <w:t>0</w:t>
            </w:r>
            <w:r>
              <w:rPr>
                <w:sz w:val="28"/>
                <w:szCs w:val="28"/>
                <w:shd w:fill="auto" w:val="clear"/>
                <w:lang w:val="uk-UA" w:eastAsia="ru-RU"/>
              </w:rPr>
              <w:t>6</w:t>
            </w:r>
            <w:r>
              <w:rPr>
                <w:sz w:val="28"/>
                <w:szCs w:val="28"/>
                <w:shd w:fill="auto" w:val="clear"/>
                <w:lang w:val="ru-RU" w:eastAsia="ru-RU"/>
              </w:rPr>
              <w:t xml:space="preserve"> грудня 2024 року</w:t>
            </w:r>
          </w:p>
        </w:tc>
      </w:tr>
      <w:tr>
        <w:trPr/>
        <w:tc>
          <w:tcPr>
            <w:tcW w:w="3165" w:type="dxa"/>
            <w:gridSpan w:val="2"/>
            <w:tcBorders>
              <w:top w:val="single" w:sz="2" w:space="0" w:color="000001"/>
              <w:left w:val="single" w:sz="2" w:space="0" w:color="000001"/>
              <w:bottom w:val="single" w:sz="2" w:space="0" w:color="000001"/>
            </w:tcBorders>
            <w:shd w:color="auto" w:fill="FFFFFF" w:val="clear"/>
          </w:tcPr>
          <w:p>
            <w:pPr>
              <w:pStyle w:val="Style17"/>
              <w:widowControl w:val="false"/>
              <w:spacing w:lineRule="auto" w:line="240" w:before="0" w:after="0"/>
              <w:jc w:val="center"/>
              <w:rPr>
                <w:rFonts w:ascii="Times New Roman" w:hAnsi="Times New Roman"/>
                <w:sz w:val="28"/>
                <w:szCs w:val="28"/>
              </w:rPr>
            </w:pPr>
            <w:r>
              <w:rPr>
                <w:b/>
                <w:bCs/>
                <w:color w:val="000000"/>
                <w:sz w:val="28"/>
                <w:szCs w:val="28"/>
              </w:rPr>
              <w:t>Місце або спосіб проведення співбесіди (із зазначенням електронної платформи для комунікації дистанційно)</w:t>
            </w:r>
          </w:p>
        </w:tc>
        <w:tc>
          <w:tcPr>
            <w:tcW w:w="6450" w:type="dxa"/>
            <w:gridSpan w:val="2"/>
            <w:tcBorders>
              <w:top w:val="single" w:sz="2" w:space="0" w:color="000001"/>
              <w:left w:val="single" w:sz="2" w:space="0" w:color="000001"/>
              <w:bottom w:val="single" w:sz="2" w:space="0" w:color="000001"/>
              <w:right w:val="single" w:sz="2" w:space="0" w:color="000001"/>
            </w:tcBorders>
            <w:shd w:color="auto" w:fill="FFFFFF" w:val="clear"/>
          </w:tcPr>
          <w:p>
            <w:pPr>
              <w:pStyle w:val="Normal"/>
              <w:widowControl w:val="false"/>
              <w:jc w:val="left"/>
              <w:rPr>
                <w:rFonts w:ascii="Times New Roman" w:hAnsi="Times New Roman"/>
                <w:sz w:val="28"/>
                <w:szCs w:val="28"/>
              </w:rPr>
            </w:pPr>
            <w:r>
              <w:rPr>
                <w:color w:val="000000"/>
                <w:sz w:val="28"/>
                <w:szCs w:val="28"/>
                <w:shd w:fill="auto" w:val="clear"/>
              </w:rPr>
              <w:t>співбесіда з начальником Управління документального забезпечення відбудеться відбудеться 12 грудня 2024 року дистанційно за допомогою сервісу ZOOM (посилання на конференцію та час буде надіслано на вказану в заяві електронну пошту)</w:t>
            </w:r>
          </w:p>
        </w:tc>
      </w:tr>
      <w:tr>
        <w:trPr/>
        <w:tc>
          <w:tcPr>
            <w:tcW w:w="3165" w:type="dxa"/>
            <w:gridSpan w:val="2"/>
            <w:tcBorders>
              <w:top w:val="single" w:sz="2" w:space="0" w:color="000001"/>
              <w:left w:val="single" w:sz="2" w:space="0" w:color="000001"/>
              <w:bottom w:val="single" w:sz="2" w:space="0" w:color="000001"/>
            </w:tcBorders>
            <w:shd w:color="auto" w:fill="FFFFFF" w:val="clear"/>
            <w:tcMar>
              <w:left w:w="52" w:type="dxa"/>
              <w:right w:w="55" w:type="dxa"/>
            </w:tcMar>
          </w:tcPr>
          <w:p>
            <w:pPr>
              <w:pStyle w:val="Style17"/>
              <w:widowControl w:val="false"/>
              <w:spacing w:lineRule="auto" w:line="240" w:before="0" w:after="0"/>
              <w:jc w:val="center"/>
              <w:rPr>
                <w:rFonts w:ascii="Times New Roman" w:hAnsi="Times New Roman"/>
                <w:sz w:val="28"/>
                <w:szCs w:val="28"/>
              </w:rPr>
            </w:pPr>
            <w:r>
              <w:rPr>
                <w:b/>
                <w:bCs/>
                <w:color w:val="000000"/>
                <w:sz w:val="28"/>
                <w:szCs w:val="28"/>
              </w:rPr>
              <w:t>Прізвище, ім'я та по-батькові, номер телефону та адреса електронної пошти особи, яка надає додаткову інформацію з питань добору з призначення на вакантну посаду</w:t>
            </w:r>
          </w:p>
        </w:tc>
        <w:tc>
          <w:tcPr>
            <w:tcW w:w="6450" w:type="dxa"/>
            <w:gridSpan w:val="2"/>
            <w:tcBorders>
              <w:top w:val="single" w:sz="2" w:space="0" w:color="000001"/>
              <w:left w:val="single" w:sz="2" w:space="0" w:color="000001"/>
              <w:bottom w:val="single" w:sz="2" w:space="0" w:color="000001"/>
              <w:right w:val="single" w:sz="2" w:space="0" w:color="000001"/>
            </w:tcBorders>
            <w:shd w:color="auto" w:fill="FFFFFF" w:val="clear"/>
            <w:tcMar>
              <w:left w:w="52" w:type="dxa"/>
              <w:right w:w="55" w:type="dxa"/>
            </w:tcMar>
          </w:tcPr>
          <w:p>
            <w:pPr>
              <w:pStyle w:val="Normal"/>
              <w:widowControl w:val="false"/>
              <w:jc w:val="left"/>
              <w:rPr/>
            </w:pPr>
            <w:r>
              <w:rPr>
                <w:color w:val="000000"/>
                <w:sz w:val="28"/>
                <w:szCs w:val="28"/>
                <w:lang w:val="en-US"/>
              </w:rPr>
              <w:t xml:space="preserve">Петрова Наталія Зіновіїна, (0506444025), </w:t>
              <w:br/>
            </w:r>
            <w:hyperlink r:id="rId2">
              <w:r>
                <w:rPr>
                  <w:color w:val="000000"/>
                  <w:sz w:val="28"/>
                  <w:szCs w:val="28"/>
                  <w:lang w:val="en-US"/>
                </w:rPr>
                <w:t>kadry@lg.pfu.gov.ua</w:t>
              </w:r>
            </w:hyperlink>
          </w:p>
        </w:tc>
      </w:tr>
      <w:tr>
        <w:trPr>
          <w:trHeight w:val="358" w:hRule="atLeast"/>
        </w:trPr>
        <w:tc>
          <w:tcPr>
            <w:tcW w:w="9615" w:type="dxa"/>
            <w:gridSpan w:val="4"/>
            <w:tcBorders>
              <w:top w:val="single" w:sz="2" w:space="0" w:color="000001"/>
              <w:left w:val="single" w:sz="2" w:space="0" w:color="000001"/>
              <w:bottom w:val="single" w:sz="2" w:space="0" w:color="000001"/>
              <w:right w:val="single" w:sz="2" w:space="0" w:color="000001"/>
            </w:tcBorders>
            <w:shd w:color="auto" w:fill="FFFFFF" w:val="clear"/>
            <w:vAlign w:val="center"/>
          </w:tcPr>
          <w:p>
            <w:pPr>
              <w:pStyle w:val="Style17"/>
              <w:widowControl w:val="false"/>
              <w:spacing w:lineRule="auto" w:line="240" w:before="0" w:after="0"/>
              <w:jc w:val="center"/>
              <w:rPr>
                <w:rFonts w:ascii="Times New Roman" w:hAnsi="Times New Roman"/>
                <w:sz w:val="28"/>
                <w:szCs w:val="28"/>
              </w:rPr>
            </w:pPr>
            <w:r>
              <w:rPr>
                <w:b/>
                <w:bCs/>
                <w:color w:val="000000"/>
                <w:sz w:val="28"/>
                <w:szCs w:val="28"/>
              </w:rPr>
              <w:t>Кваліфікаційні вимоги</w:t>
            </w:r>
          </w:p>
        </w:tc>
      </w:tr>
      <w:tr>
        <w:trPr>
          <w:trHeight w:val="767" w:hRule="atLeast"/>
        </w:trPr>
        <w:tc>
          <w:tcPr>
            <w:tcW w:w="546" w:type="dxa"/>
            <w:tcBorders>
              <w:top w:val="single" w:sz="2" w:space="0" w:color="000001"/>
              <w:left w:val="single" w:sz="2" w:space="0" w:color="000001"/>
              <w:bottom w:val="single" w:sz="2" w:space="0" w:color="000001"/>
            </w:tcBorders>
            <w:shd w:color="auto" w:fill="FFFFFF" w:val="clear"/>
          </w:tcPr>
          <w:p>
            <w:pPr>
              <w:pStyle w:val="Style17"/>
              <w:widowControl w:val="false"/>
              <w:spacing w:lineRule="auto" w:line="240" w:before="0" w:after="0"/>
              <w:jc w:val="both"/>
              <w:rPr>
                <w:rFonts w:ascii="Times New Roman" w:hAnsi="Times New Roman"/>
                <w:sz w:val="28"/>
                <w:szCs w:val="28"/>
              </w:rPr>
            </w:pPr>
            <w:r>
              <w:rPr>
                <w:b/>
                <w:bCs/>
                <w:color w:val="000000"/>
                <w:sz w:val="28"/>
                <w:szCs w:val="28"/>
              </w:rPr>
              <w:t>1</w:t>
            </w:r>
          </w:p>
        </w:tc>
        <w:tc>
          <w:tcPr>
            <w:tcW w:w="2850" w:type="dxa"/>
            <w:gridSpan w:val="2"/>
            <w:tcBorders>
              <w:top w:val="single" w:sz="2" w:space="0" w:color="000001"/>
              <w:left w:val="single" w:sz="2" w:space="0" w:color="000001"/>
              <w:bottom w:val="single" w:sz="2" w:space="0" w:color="000001"/>
            </w:tcBorders>
            <w:shd w:color="auto" w:fill="FFFFFF" w:val="clear"/>
          </w:tcPr>
          <w:p>
            <w:pPr>
              <w:pStyle w:val="Style17"/>
              <w:widowControl w:val="false"/>
              <w:spacing w:lineRule="auto" w:line="240" w:before="0" w:after="0"/>
              <w:jc w:val="both"/>
              <w:rPr>
                <w:rFonts w:ascii="Times New Roman" w:hAnsi="Times New Roman"/>
                <w:sz w:val="28"/>
                <w:szCs w:val="28"/>
              </w:rPr>
            </w:pPr>
            <w:r>
              <w:rPr>
                <w:b/>
                <w:bCs/>
                <w:color w:val="000000"/>
                <w:sz w:val="28"/>
                <w:szCs w:val="28"/>
              </w:rPr>
              <w:t>Освіта</w:t>
            </w:r>
          </w:p>
        </w:tc>
        <w:tc>
          <w:tcPr>
            <w:tcW w:w="6219" w:type="dxa"/>
            <w:tcBorders>
              <w:top w:val="single" w:sz="2" w:space="0" w:color="000001"/>
              <w:left w:val="single" w:sz="2" w:space="0" w:color="000001"/>
              <w:bottom w:val="single" w:sz="2" w:space="0" w:color="000001"/>
              <w:right w:val="single" w:sz="2" w:space="0" w:color="000001"/>
            </w:tcBorders>
            <w:shd w:color="auto" w:fill="FFFFFF" w:val="clear"/>
          </w:tcPr>
          <w:p>
            <w:pPr>
              <w:pStyle w:val="Style17"/>
              <w:widowControl w:val="false"/>
              <w:suppressAutoHyphens w:val="true"/>
              <w:bidi w:val="0"/>
              <w:spacing w:lineRule="auto" w:line="240" w:before="0" w:after="0"/>
              <w:ind w:left="0" w:right="57" w:firstLine="567"/>
              <w:jc w:val="both"/>
              <w:rPr>
                <w:rFonts w:ascii="Times New Roman" w:hAnsi="Times New Roman"/>
                <w:sz w:val="28"/>
                <w:szCs w:val="28"/>
              </w:rPr>
            </w:pPr>
            <w:r>
              <w:rPr>
                <w:color w:val="000000"/>
                <w:sz w:val="28"/>
                <w:szCs w:val="28"/>
              </w:rPr>
              <w:t>не нижче ступеня молодшого бакалавра</w:t>
            </w:r>
          </w:p>
        </w:tc>
      </w:tr>
      <w:tr>
        <w:trPr>
          <w:trHeight w:val="581" w:hRule="atLeast"/>
        </w:trPr>
        <w:tc>
          <w:tcPr>
            <w:tcW w:w="546" w:type="dxa"/>
            <w:tcBorders>
              <w:top w:val="single" w:sz="2" w:space="0" w:color="000001"/>
              <w:left w:val="single" w:sz="2" w:space="0" w:color="000001"/>
              <w:bottom w:val="single" w:sz="2" w:space="0" w:color="000001"/>
            </w:tcBorders>
            <w:shd w:color="auto" w:fill="FFFFFF" w:val="clear"/>
          </w:tcPr>
          <w:p>
            <w:pPr>
              <w:pStyle w:val="Style17"/>
              <w:widowControl w:val="false"/>
              <w:spacing w:lineRule="auto" w:line="240" w:before="0" w:after="0"/>
              <w:jc w:val="both"/>
              <w:rPr>
                <w:rFonts w:ascii="Times New Roman" w:hAnsi="Times New Roman"/>
                <w:sz w:val="28"/>
                <w:szCs w:val="28"/>
              </w:rPr>
            </w:pPr>
            <w:r>
              <w:rPr>
                <w:b/>
                <w:bCs/>
                <w:color w:val="000000"/>
                <w:sz w:val="28"/>
                <w:szCs w:val="28"/>
              </w:rPr>
              <w:t>2</w:t>
            </w:r>
          </w:p>
        </w:tc>
        <w:tc>
          <w:tcPr>
            <w:tcW w:w="2850" w:type="dxa"/>
            <w:gridSpan w:val="2"/>
            <w:tcBorders>
              <w:top w:val="single" w:sz="2" w:space="0" w:color="000001"/>
              <w:left w:val="single" w:sz="2" w:space="0" w:color="000001"/>
              <w:bottom w:val="single" w:sz="2" w:space="0" w:color="000001"/>
            </w:tcBorders>
            <w:shd w:color="auto" w:fill="FFFFFF" w:val="clear"/>
          </w:tcPr>
          <w:p>
            <w:pPr>
              <w:pStyle w:val="Style17"/>
              <w:widowControl w:val="false"/>
              <w:spacing w:lineRule="auto" w:line="240" w:before="0" w:after="0"/>
              <w:jc w:val="both"/>
              <w:rPr>
                <w:rFonts w:ascii="Times New Roman" w:hAnsi="Times New Roman"/>
                <w:sz w:val="28"/>
                <w:szCs w:val="28"/>
              </w:rPr>
            </w:pPr>
            <w:r>
              <w:rPr>
                <w:b/>
                <w:bCs/>
                <w:color w:val="000000"/>
                <w:sz w:val="28"/>
                <w:szCs w:val="28"/>
              </w:rPr>
              <w:t>Досвід роботи</w:t>
            </w:r>
          </w:p>
        </w:tc>
        <w:tc>
          <w:tcPr>
            <w:tcW w:w="6219" w:type="dxa"/>
            <w:tcBorders>
              <w:top w:val="single" w:sz="2" w:space="0" w:color="000001"/>
              <w:left w:val="single" w:sz="2" w:space="0" w:color="000001"/>
              <w:bottom w:val="single" w:sz="2" w:space="0" w:color="000001"/>
              <w:right w:val="single" w:sz="2" w:space="0" w:color="000001"/>
            </w:tcBorders>
            <w:shd w:color="auto" w:fill="FFFFFF" w:val="clear"/>
          </w:tcPr>
          <w:p>
            <w:pPr>
              <w:pStyle w:val="Style17"/>
              <w:widowControl w:val="false"/>
              <w:suppressAutoHyphens w:val="true"/>
              <w:bidi w:val="0"/>
              <w:spacing w:lineRule="auto" w:line="240" w:before="0" w:after="0"/>
              <w:ind w:left="0" w:right="57" w:firstLine="567"/>
              <w:jc w:val="both"/>
              <w:rPr>
                <w:rFonts w:ascii="Times New Roman" w:hAnsi="Times New Roman"/>
                <w:sz w:val="28"/>
                <w:szCs w:val="28"/>
              </w:rPr>
            </w:pPr>
            <w:r>
              <w:rPr>
                <w:color w:val="000000"/>
                <w:sz w:val="28"/>
                <w:szCs w:val="28"/>
              </w:rPr>
              <w:t>без вимог</w:t>
            </w:r>
          </w:p>
        </w:tc>
      </w:tr>
      <w:tr>
        <w:trPr/>
        <w:tc>
          <w:tcPr>
            <w:tcW w:w="546" w:type="dxa"/>
            <w:tcBorders>
              <w:top w:val="single" w:sz="2" w:space="0" w:color="000001"/>
              <w:left w:val="single" w:sz="2" w:space="0" w:color="000001"/>
              <w:bottom w:val="single" w:sz="2" w:space="0" w:color="000001"/>
            </w:tcBorders>
            <w:shd w:color="auto" w:fill="FFFFFF" w:val="clear"/>
          </w:tcPr>
          <w:p>
            <w:pPr>
              <w:pStyle w:val="Style17"/>
              <w:widowControl w:val="false"/>
              <w:spacing w:lineRule="auto" w:line="240" w:before="0" w:after="0"/>
              <w:jc w:val="both"/>
              <w:rPr>
                <w:rFonts w:ascii="Times New Roman" w:hAnsi="Times New Roman"/>
                <w:sz w:val="28"/>
                <w:szCs w:val="28"/>
              </w:rPr>
            </w:pPr>
            <w:r>
              <w:rPr>
                <w:b/>
                <w:bCs/>
                <w:color w:val="000000"/>
                <w:sz w:val="28"/>
                <w:szCs w:val="28"/>
              </w:rPr>
              <w:t>3</w:t>
            </w:r>
          </w:p>
        </w:tc>
        <w:tc>
          <w:tcPr>
            <w:tcW w:w="2850" w:type="dxa"/>
            <w:gridSpan w:val="2"/>
            <w:tcBorders>
              <w:top w:val="single" w:sz="2" w:space="0" w:color="000001"/>
              <w:left w:val="single" w:sz="2" w:space="0" w:color="000001"/>
              <w:bottom w:val="single" w:sz="2" w:space="0" w:color="000001"/>
            </w:tcBorders>
            <w:shd w:color="auto" w:fill="FFFFFF" w:val="clear"/>
          </w:tcPr>
          <w:p>
            <w:pPr>
              <w:pStyle w:val="Style17"/>
              <w:widowControl w:val="false"/>
              <w:spacing w:lineRule="auto" w:line="240" w:before="0" w:after="0"/>
              <w:jc w:val="both"/>
              <w:rPr>
                <w:rFonts w:ascii="Times New Roman" w:hAnsi="Times New Roman"/>
                <w:sz w:val="28"/>
                <w:szCs w:val="28"/>
              </w:rPr>
            </w:pPr>
            <w:r>
              <w:rPr>
                <w:b/>
                <w:bCs/>
                <w:color w:val="000000"/>
                <w:sz w:val="28"/>
                <w:szCs w:val="28"/>
              </w:rPr>
              <w:t>Володіння державною мовою</w:t>
            </w:r>
          </w:p>
        </w:tc>
        <w:tc>
          <w:tcPr>
            <w:tcW w:w="6219" w:type="dxa"/>
            <w:tcBorders>
              <w:top w:val="single" w:sz="2" w:space="0" w:color="000001"/>
              <w:left w:val="single" w:sz="2" w:space="0" w:color="000001"/>
              <w:bottom w:val="single" w:sz="2" w:space="0" w:color="000001"/>
              <w:right w:val="single" w:sz="2" w:space="0" w:color="000001"/>
            </w:tcBorders>
            <w:shd w:color="auto" w:fill="FFFFFF" w:val="clear"/>
            <w:vAlign w:val="center"/>
          </w:tcPr>
          <w:p>
            <w:pPr>
              <w:pStyle w:val="Style17"/>
              <w:widowControl w:val="false"/>
              <w:suppressAutoHyphens w:val="true"/>
              <w:bidi w:val="0"/>
              <w:spacing w:lineRule="auto" w:line="240" w:before="0" w:after="0"/>
              <w:ind w:left="0" w:right="57" w:firstLine="567"/>
              <w:jc w:val="both"/>
              <w:rPr>
                <w:rFonts w:ascii="Times New Roman" w:hAnsi="Times New Roman"/>
                <w:sz w:val="28"/>
                <w:szCs w:val="28"/>
              </w:rPr>
            </w:pPr>
            <w:r>
              <w:rPr>
                <w:color w:val="000000"/>
                <w:sz w:val="28"/>
                <w:szCs w:val="28"/>
              </w:rPr>
              <w:t>вільне</w:t>
            </w:r>
          </w:p>
        </w:tc>
      </w:tr>
      <w:tr>
        <w:trPr>
          <w:trHeight w:val="447" w:hRule="atLeast"/>
        </w:trPr>
        <w:tc>
          <w:tcPr>
            <w:tcW w:w="9615" w:type="dxa"/>
            <w:gridSpan w:val="4"/>
            <w:tcBorders>
              <w:top w:val="single" w:sz="2" w:space="0" w:color="000001"/>
              <w:left w:val="single" w:sz="2" w:space="0" w:color="000001"/>
              <w:bottom w:val="single" w:sz="2" w:space="0" w:color="000001"/>
              <w:right w:val="single" w:sz="2" w:space="0" w:color="000001"/>
            </w:tcBorders>
            <w:shd w:color="auto" w:fill="FFFFFF" w:val="clear"/>
          </w:tcPr>
          <w:p>
            <w:pPr>
              <w:pStyle w:val="Style17"/>
              <w:widowControl w:val="false"/>
              <w:spacing w:lineRule="auto" w:line="240" w:before="0" w:after="0"/>
              <w:jc w:val="center"/>
              <w:rPr>
                <w:rFonts w:ascii="Times New Roman" w:hAnsi="Times New Roman"/>
                <w:sz w:val="28"/>
                <w:szCs w:val="28"/>
              </w:rPr>
            </w:pPr>
            <w:r>
              <w:rPr>
                <w:b/>
                <w:bCs/>
                <w:color w:val="000000"/>
                <w:sz w:val="28"/>
                <w:szCs w:val="28"/>
              </w:rPr>
              <w:t>Вимоги до компетентності</w:t>
            </w:r>
          </w:p>
        </w:tc>
      </w:tr>
      <w:tr>
        <w:trPr>
          <w:trHeight w:val="510" w:hRule="atLeast"/>
        </w:trPr>
        <w:tc>
          <w:tcPr>
            <w:tcW w:w="3396" w:type="dxa"/>
            <w:gridSpan w:val="3"/>
            <w:tcBorders>
              <w:top w:val="single" w:sz="2" w:space="0" w:color="000001"/>
              <w:left w:val="single" w:sz="2" w:space="0" w:color="000001"/>
              <w:bottom w:val="single" w:sz="2" w:space="0" w:color="000001"/>
            </w:tcBorders>
            <w:shd w:color="auto" w:fill="FFFFFF" w:val="clear"/>
          </w:tcPr>
          <w:p>
            <w:pPr>
              <w:pStyle w:val="Style17"/>
              <w:widowControl w:val="false"/>
              <w:spacing w:lineRule="auto" w:line="240" w:before="0" w:after="0"/>
              <w:jc w:val="center"/>
              <w:rPr>
                <w:rFonts w:ascii="Times New Roman" w:hAnsi="Times New Roman"/>
                <w:sz w:val="28"/>
                <w:szCs w:val="28"/>
              </w:rPr>
            </w:pPr>
            <w:r>
              <w:rPr>
                <w:b/>
                <w:bCs/>
                <w:color w:val="000000"/>
                <w:sz w:val="28"/>
                <w:szCs w:val="28"/>
              </w:rPr>
              <w:t>Вимога</w:t>
            </w:r>
          </w:p>
        </w:tc>
        <w:tc>
          <w:tcPr>
            <w:tcW w:w="6219" w:type="dxa"/>
            <w:tcBorders>
              <w:top w:val="single" w:sz="2" w:space="0" w:color="000001"/>
              <w:left w:val="single" w:sz="2" w:space="0" w:color="000001"/>
              <w:bottom w:val="single" w:sz="2" w:space="0" w:color="000001"/>
              <w:right w:val="single" w:sz="2" w:space="0" w:color="000001"/>
            </w:tcBorders>
            <w:shd w:color="auto" w:fill="FFFFFF" w:val="clear"/>
          </w:tcPr>
          <w:p>
            <w:pPr>
              <w:pStyle w:val="Style17"/>
              <w:widowControl w:val="false"/>
              <w:spacing w:lineRule="auto" w:line="240" w:before="0" w:after="0"/>
              <w:jc w:val="center"/>
              <w:rPr>
                <w:rFonts w:ascii="Times New Roman" w:hAnsi="Times New Roman"/>
                <w:sz w:val="28"/>
                <w:szCs w:val="28"/>
              </w:rPr>
            </w:pPr>
            <w:r>
              <w:rPr>
                <w:b/>
                <w:bCs/>
                <w:color w:val="000000"/>
                <w:sz w:val="28"/>
                <w:szCs w:val="28"/>
              </w:rPr>
              <w:t>Компоненти вимоги</w:t>
            </w:r>
          </w:p>
        </w:tc>
      </w:tr>
      <w:tr>
        <w:trPr>
          <w:trHeight w:val="342" w:hRule="atLeast"/>
        </w:trPr>
        <w:tc>
          <w:tcPr>
            <w:tcW w:w="546" w:type="dxa"/>
            <w:tcBorders>
              <w:top w:val="single" w:sz="2" w:space="0" w:color="000001"/>
              <w:left w:val="single" w:sz="2" w:space="0" w:color="000001"/>
              <w:bottom w:val="single" w:sz="2" w:space="0" w:color="000001"/>
            </w:tcBorders>
            <w:shd w:color="auto" w:fill="FFFFFF" w:val="clear"/>
          </w:tcPr>
          <w:p>
            <w:pPr>
              <w:pStyle w:val="Style17"/>
              <w:widowControl w:val="false"/>
              <w:spacing w:lineRule="auto" w:line="240" w:before="0" w:after="0"/>
              <w:jc w:val="both"/>
              <w:rPr>
                <w:rFonts w:ascii="Times New Roman" w:hAnsi="Times New Roman"/>
                <w:sz w:val="28"/>
                <w:szCs w:val="28"/>
              </w:rPr>
            </w:pPr>
            <w:r>
              <w:rPr>
                <w:b/>
                <w:bCs/>
                <w:color w:val="000000"/>
                <w:sz w:val="28"/>
                <w:szCs w:val="28"/>
              </w:rPr>
              <w:t>1</w:t>
            </w:r>
          </w:p>
        </w:tc>
        <w:tc>
          <w:tcPr>
            <w:tcW w:w="2850" w:type="dxa"/>
            <w:gridSpan w:val="2"/>
            <w:tcBorders>
              <w:top w:val="single" w:sz="2" w:space="0" w:color="000001"/>
              <w:left w:val="single" w:sz="2" w:space="0" w:color="000001"/>
              <w:bottom w:val="single" w:sz="2" w:space="0" w:color="000001"/>
            </w:tcBorders>
            <w:shd w:color="auto" w:fill="FFFFFF" w:val="clear"/>
          </w:tcPr>
          <w:p>
            <w:pPr>
              <w:pStyle w:val="Style17"/>
              <w:widowControl w:val="false"/>
              <w:spacing w:lineRule="auto" w:line="240" w:before="0" w:after="0"/>
              <w:jc w:val="both"/>
              <w:rPr>
                <w:rFonts w:ascii="Times New Roman" w:hAnsi="Times New Roman"/>
                <w:sz w:val="28"/>
                <w:szCs w:val="28"/>
              </w:rPr>
            </w:pPr>
            <w:r>
              <w:rPr>
                <w:b/>
                <w:bCs/>
                <w:color w:val="000000"/>
                <w:sz w:val="28"/>
                <w:szCs w:val="28"/>
              </w:rPr>
              <w:t>Ефективність координації з іншими</w:t>
            </w:r>
          </w:p>
        </w:tc>
        <w:tc>
          <w:tcPr>
            <w:tcW w:w="6219" w:type="dxa"/>
            <w:tcBorders>
              <w:top w:val="single" w:sz="2" w:space="0" w:color="000001"/>
              <w:left w:val="single" w:sz="2" w:space="0" w:color="000001"/>
              <w:bottom w:val="single" w:sz="2" w:space="0" w:color="000001"/>
              <w:right w:val="single" w:sz="2" w:space="0" w:color="000001"/>
            </w:tcBorders>
            <w:shd w:color="auto" w:fill="FFFFFF" w:val="clear"/>
          </w:tcPr>
          <w:p>
            <w:pPr>
              <w:pStyle w:val="Style17"/>
              <w:widowControl w:val="false"/>
              <w:suppressAutoHyphens w:val="true"/>
              <w:bidi w:val="0"/>
              <w:spacing w:lineRule="auto" w:line="240" w:before="0" w:after="0"/>
              <w:ind w:left="0" w:right="57" w:firstLine="567"/>
              <w:jc w:val="both"/>
              <w:rPr>
                <w:rFonts w:ascii="Times New Roman" w:hAnsi="Times New Roman"/>
                <w:sz w:val="28"/>
                <w:szCs w:val="28"/>
              </w:rPr>
            </w:pPr>
            <w:r>
              <w:rPr>
                <w:color w:val="000000"/>
                <w:sz w:val="28"/>
                <w:szCs w:val="28"/>
              </w:rPr>
              <w:t>здатність налагоджувати зв’язки з іншими посадовими особами структурних підрозділів;</w:t>
            </w:r>
          </w:p>
          <w:p>
            <w:pPr>
              <w:pStyle w:val="Style17"/>
              <w:widowControl w:val="false"/>
              <w:suppressAutoHyphens w:val="true"/>
              <w:bidi w:val="0"/>
              <w:spacing w:lineRule="auto" w:line="240" w:before="0" w:after="0"/>
              <w:ind w:left="0" w:right="57" w:firstLine="567"/>
              <w:jc w:val="both"/>
              <w:rPr>
                <w:rFonts w:ascii="Times New Roman" w:hAnsi="Times New Roman"/>
                <w:sz w:val="28"/>
                <w:szCs w:val="28"/>
              </w:rPr>
            </w:pPr>
            <w:r>
              <w:rPr>
                <w:color w:val="000000"/>
                <w:sz w:val="28"/>
                <w:szCs w:val="28"/>
              </w:rPr>
              <w:t>уміння конструктивного обміну інформацією, узгодження та упорядкування дій;</w:t>
            </w:r>
          </w:p>
          <w:p>
            <w:pPr>
              <w:pStyle w:val="Style17"/>
              <w:widowControl w:val="false"/>
              <w:suppressAutoHyphens w:val="true"/>
              <w:bidi w:val="0"/>
              <w:spacing w:lineRule="auto" w:line="240" w:before="0" w:after="0"/>
              <w:ind w:left="0" w:right="57" w:firstLine="567"/>
              <w:jc w:val="both"/>
              <w:rPr>
                <w:rFonts w:ascii="Times New Roman" w:hAnsi="Times New Roman"/>
                <w:sz w:val="28"/>
                <w:szCs w:val="28"/>
              </w:rPr>
            </w:pPr>
            <w:r>
              <w:rPr>
                <w:color w:val="000000"/>
                <w:sz w:val="28"/>
                <w:szCs w:val="28"/>
              </w:rPr>
              <w:t>здатність до об’єднання та систематизації спільних зусиль.</w:t>
            </w:r>
          </w:p>
        </w:tc>
      </w:tr>
      <w:tr>
        <w:trPr>
          <w:trHeight w:val="369" w:hRule="atLeast"/>
        </w:trPr>
        <w:tc>
          <w:tcPr>
            <w:tcW w:w="546" w:type="dxa"/>
            <w:tcBorders>
              <w:top w:val="single" w:sz="2" w:space="0" w:color="000001"/>
              <w:left w:val="single" w:sz="2" w:space="0" w:color="000001"/>
              <w:bottom w:val="single" w:sz="2" w:space="0" w:color="000001"/>
            </w:tcBorders>
            <w:shd w:color="auto" w:fill="FFFFFF" w:val="clear"/>
          </w:tcPr>
          <w:p>
            <w:pPr>
              <w:pStyle w:val="Style17"/>
              <w:widowControl w:val="false"/>
              <w:spacing w:lineRule="auto" w:line="240" w:before="0" w:after="0"/>
              <w:jc w:val="both"/>
              <w:rPr>
                <w:rFonts w:ascii="Times New Roman" w:hAnsi="Times New Roman"/>
                <w:sz w:val="28"/>
                <w:szCs w:val="28"/>
              </w:rPr>
            </w:pPr>
            <w:r>
              <w:rPr>
                <w:b/>
                <w:bCs/>
                <w:color w:val="000000"/>
                <w:sz w:val="28"/>
                <w:szCs w:val="28"/>
              </w:rPr>
              <w:t>2</w:t>
            </w:r>
          </w:p>
        </w:tc>
        <w:tc>
          <w:tcPr>
            <w:tcW w:w="2850" w:type="dxa"/>
            <w:gridSpan w:val="2"/>
            <w:tcBorders>
              <w:top w:val="single" w:sz="2" w:space="0" w:color="000001"/>
              <w:left w:val="single" w:sz="2" w:space="0" w:color="000001"/>
              <w:bottom w:val="single" w:sz="2" w:space="0" w:color="000001"/>
            </w:tcBorders>
            <w:shd w:color="auto" w:fill="FFFFFF" w:val="clear"/>
          </w:tcPr>
          <w:p>
            <w:pPr>
              <w:pStyle w:val="Style17"/>
              <w:widowControl w:val="false"/>
              <w:spacing w:lineRule="auto" w:line="240" w:before="0" w:after="0"/>
              <w:jc w:val="both"/>
              <w:rPr>
                <w:rFonts w:ascii="Times New Roman" w:hAnsi="Times New Roman"/>
                <w:sz w:val="28"/>
                <w:szCs w:val="28"/>
              </w:rPr>
            </w:pPr>
            <w:r>
              <w:rPr>
                <w:b/>
                <w:bCs/>
                <w:color w:val="000000"/>
                <w:sz w:val="28"/>
                <w:szCs w:val="28"/>
              </w:rPr>
              <w:t>Відповідальність</w:t>
            </w:r>
          </w:p>
        </w:tc>
        <w:tc>
          <w:tcPr>
            <w:tcW w:w="6219" w:type="dxa"/>
            <w:tcBorders>
              <w:top w:val="single" w:sz="2" w:space="0" w:color="000001"/>
              <w:left w:val="single" w:sz="2" w:space="0" w:color="000001"/>
              <w:bottom w:val="single" w:sz="2" w:space="0" w:color="000001"/>
              <w:right w:val="single" w:sz="2" w:space="0" w:color="000001"/>
            </w:tcBorders>
            <w:shd w:color="auto" w:fill="FFFFFF" w:val="clear"/>
          </w:tcPr>
          <w:p>
            <w:pPr>
              <w:pStyle w:val="Style17"/>
              <w:widowControl w:val="false"/>
              <w:suppressAutoHyphens w:val="true"/>
              <w:bidi w:val="0"/>
              <w:spacing w:lineRule="auto" w:line="240" w:before="0" w:after="0"/>
              <w:ind w:left="0" w:right="57" w:firstLine="567"/>
              <w:jc w:val="both"/>
              <w:rPr>
                <w:rFonts w:ascii="Times New Roman" w:hAnsi="Times New Roman"/>
                <w:sz w:val="28"/>
                <w:szCs w:val="28"/>
              </w:rPr>
            </w:pPr>
            <w:r>
              <w:rPr>
                <w:color w:val="000000"/>
                <w:sz w:val="28"/>
                <w:szCs w:val="28"/>
              </w:rPr>
              <w:t>усвідомлення важливості якісного виконання своїх посадових обов’язків з дотриманням строків та встановлених процедур;</w:t>
            </w:r>
          </w:p>
          <w:p>
            <w:pPr>
              <w:pStyle w:val="Style17"/>
              <w:widowControl w:val="false"/>
              <w:suppressAutoHyphens w:val="true"/>
              <w:bidi w:val="0"/>
              <w:spacing w:lineRule="auto" w:line="240" w:before="0" w:after="0"/>
              <w:ind w:left="0" w:right="57" w:firstLine="567"/>
              <w:jc w:val="both"/>
              <w:rPr>
                <w:rFonts w:ascii="Times New Roman" w:hAnsi="Times New Roman"/>
                <w:sz w:val="28"/>
                <w:szCs w:val="28"/>
              </w:rPr>
            </w:pPr>
            <w:r>
              <w:rPr>
                <w:color w:val="000000"/>
                <w:sz w:val="28"/>
                <w:szCs w:val="28"/>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tc>
      </w:tr>
      <w:tr>
        <w:trPr/>
        <w:tc>
          <w:tcPr>
            <w:tcW w:w="546" w:type="dxa"/>
            <w:tcBorders>
              <w:top w:val="single" w:sz="2" w:space="0" w:color="000001"/>
              <w:left w:val="single" w:sz="2" w:space="0" w:color="000001"/>
              <w:bottom w:val="single" w:sz="2" w:space="0" w:color="000001"/>
            </w:tcBorders>
            <w:shd w:color="auto" w:fill="FFFFFF" w:val="clear"/>
          </w:tcPr>
          <w:p>
            <w:pPr>
              <w:pStyle w:val="Style17"/>
              <w:widowControl w:val="false"/>
              <w:spacing w:lineRule="auto" w:line="240" w:before="0" w:after="0"/>
              <w:jc w:val="both"/>
              <w:rPr>
                <w:rFonts w:ascii="Times New Roman" w:hAnsi="Times New Roman"/>
                <w:sz w:val="28"/>
                <w:szCs w:val="28"/>
              </w:rPr>
            </w:pPr>
            <w:r>
              <w:rPr>
                <w:b/>
                <w:bCs/>
                <w:color w:val="000000"/>
                <w:sz w:val="28"/>
                <w:szCs w:val="28"/>
              </w:rPr>
              <w:t>3</w:t>
            </w:r>
          </w:p>
        </w:tc>
        <w:tc>
          <w:tcPr>
            <w:tcW w:w="2850" w:type="dxa"/>
            <w:gridSpan w:val="2"/>
            <w:tcBorders>
              <w:top w:val="single" w:sz="2" w:space="0" w:color="000001"/>
              <w:left w:val="single" w:sz="2" w:space="0" w:color="000001"/>
              <w:bottom w:val="single" w:sz="2" w:space="0" w:color="000001"/>
            </w:tcBorders>
            <w:shd w:color="auto" w:fill="FFFFFF" w:val="clear"/>
          </w:tcPr>
          <w:p>
            <w:pPr>
              <w:pStyle w:val="Style17"/>
              <w:widowControl w:val="false"/>
              <w:spacing w:lineRule="auto" w:line="240" w:before="0" w:after="0"/>
              <w:jc w:val="both"/>
              <w:rPr>
                <w:rFonts w:ascii="Times New Roman" w:hAnsi="Times New Roman"/>
                <w:sz w:val="28"/>
                <w:szCs w:val="28"/>
              </w:rPr>
            </w:pPr>
            <w:r>
              <w:rPr>
                <w:b/>
                <w:bCs/>
                <w:color w:val="000000"/>
                <w:sz w:val="28"/>
                <w:szCs w:val="28"/>
              </w:rPr>
              <w:t>Аналітичні здібності</w:t>
            </w:r>
          </w:p>
        </w:tc>
        <w:tc>
          <w:tcPr>
            <w:tcW w:w="6219" w:type="dxa"/>
            <w:tcBorders>
              <w:top w:val="single" w:sz="2" w:space="0" w:color="000001"/>
              <w:left w:val="single" w:sz="2" w:space="0" w:color="000001"/>
              <w:bottom w:val="single" w:sz="2" w:space="0" w:color="000001"/>
              <w:right w:val="single" w:sz="2" w:space="0" w:color="000001"/>
            </w:tcBorders>
            <w:shd w:color="auto" w:fill="FFFFFF" w:val="clear"/>
          </w:tcPr>
          <w:p>
            <w:pPr>
              <w:pStyle w:val="Style17"/>
              <w:widowControl w:val="false"/>
              <w:suppressAutoHyphens w:val="true"/>
              <w:bidi w:val="0"/>
              <w:spacing w:lineRule="auto" w:line="240" w:before="0" w:after="0"/>
              <w:ind w:left="0" w:right="57" w:firstLine="567"/>
              <w:jc w:val="both"/>
              <w:rPr>
                <w:rFonts w:ascii="Times New Roman" w:hAnsi="Times New Roman"/>
                <w:sz w:val="28"/>
                <w:szCs w:val="28"/>
              </w:rPr>
            </w:pPr>
            <w:r>
              <w:rPr>
                <w:color w:val="000000"/>
                <w:sz w:val="28"/>
                <w:szCs w:val="28"/>
              </w:rPr>
              <w:t>здатність до логічного мислення, узагальнення, конкретизації, розкладання складних питань на складові, виділяти головне від другорядного, виявляти закономірності;</w:t>
            </w:r>
          </w:p>
          <w:p>
            <w:pPr>
              <w:pStyle w:val="Style17"/>
              <w:widowControl w:val="false"/>
              <w:suppressAutoHyphens w:val="true"/>
              <w:bidi w:val="0"/>
              <w:spacing w:lineRule="auto" w:line="240" w:before="0" w:after="0"/>
              <w:ind w:left="0" w:right="57" w:firstLine="567"/>
              <w:jc w:val="both"/>
              <w:rPr>
                <w:rFonts w:ascii="Times New Roman" w:hAnsi="Times New Roman"/>
                <w:sz w:val="28"/>
                <w:szCs w:val="28"/>
              </w:rPr>
            </w:pPr>
            <w:r>
              <w:rPr>
                <w:color w:val="000000"/>
                <w:sz w:val="28"/>
                <w:szCs w:val="28"/>
              </w:rPr>
              <w:t>вміння аналізувати інформацію та робити висновки, прогнозувати,</w:t>
            </w:r>
            <w:r>
              <w:rPr>
                <w:color w:val="000000"/>
                <w:sz w:val="28"/>
                <w:szCs w:val="28"/>
                <w:lang w:val="ru-RU"/>
              </w:rPr>
              <w:t xml:space="preserve"> </w:t>
            </w:r>
            <w:r>
              <w:rPr>
                <w:color w:val="000000"/>
                <w:sz w:val="28"/>
                <w:szCs w:val="28"/>
              </w:rPr>
              <w:t>критично оцінювати ситуації.</w:t>
            </w:r>
          </w:p>
        </w:tc>
      </w:tr>
      <w:tr>
        <w:trPr/>
        <w:tc>
          <w:tcPr>
            <w:tcW w:w="9615" w:type="dxa"/>
            <w:gridSpan w:val="4"/>
            <w:tcBorders>
              <w:top w:val="single" w:sz="2" w:space="0" w:color="000001"/>
              <w:left w:val="single" w:sz="2" w:space="0" w:color="000001"/>
              <w:bottom w:val="single" w:sz="2" w:space="0" w:color="000001"/>
              <w:right w:val="single" w:sz="2" w:space="0" w:color="000001"/>
            </w:tcBorders>
            <w:shd w:color="auto" w:fill="FFFFFF" w:val="clear"/>
          </w:tcPr>
          <w:p>
            <w:pPr>
              <w:pStyle w:val="Style17"/>
              <w:widowControl w:val="false"/>
              <w:spacing w:lineRule="auto" w:line="240" w:before="0" w:after="0"/>
              <w:jc w:val="center"/>
              <w:rPr>
                <w:rFonts w:ascii="Times New Roman" w:hAnsi="Times New Roman"/>
                <w:sz w:val="28"/>
                <w:szCs w:val="28"/>
              </w:rPr>
            </w:pPr>
            <w:r>
              <w:rPr>
                <w:b/>
                <w:bCs/>
                <w:color w:val="000000"/>
                <w:sz w:val="28"/>
                <w:szCs w:val="28"/>
              </w:rPr>
              <w:t>Професійні знання</w:t>
            </w:r>
          </w:p>
        </w:tc>
      </w:tr>
      <w:tr>
        <w:trPr/>
        <w:tc>
          <w:tcPr>
            <w:tcW w:w="546" w:type="dxa"/>
            <w:tcBorders>
              <w:top w:val="single" w:sz="2" w:space="0" w:color="000001"/>
              <w:left w:val="single" w:sz="2" w:space="0" w:color="000001"/>
              <w:bottom w:val="single" w:sz="2" w:space="0" w:color="000001"/>
            </w:tcBorders>
            <w:shd w:color="auto" w:fill="FFFFFF" w:val="clear"/>
          </w:tcPr>
          <w:p>
            <w:pPr>
              <w:pStyle w:val="Style17"/>
              <w:widowControl w:val="false"/>
              <w:spacing w:lineRule="auto" w:line="240" w:before="0" w:after="0"/>
              <w:jc w:val="both"/>
              <w:rPr>
                <w:rFonts w:ascii="Times New Roman" w:hAnsi="Times New Roman"/>
                <w:sz w:val="28"/>
                <w:szCs w:val="28"/>
              </w:rPr>
            </w:pPr>
            <w:r>
              <w:rPr>
                <w:b/>
                <w:bCs/>
                <w:color w:val="000000"/>
                <w:sz w:val="28"/>
                <w:szCs w:val="28"/>
              </w:rPr>
              <w:t>1</w:t>
            </w:r>
          </w:p>
        </w:tc>
        <w:tc>
          <w:tcPr>
            <w:tcW w:w="2850" w:type="dxa"/>
            <w:gridSpan w:val="2"/>
            <w:tcBorders>
              <w:top w:val="single" w:sz="2" w:space="0" w:color="000001"/>
              <w:left w:val="single" w:sz="2" w:space="0" w:color="000001"/>
              <w:bottom w:val="single" w:sz="2" w:space="0" w:color="000001"/>
            </w:tcBorders>
            <w:shd w:color="auto" w:fill="FFFFFF" w:val="clear"/>
          </w:tcPr>
          <w:p>
            <w:pPr>
              <w:pStyle w:val="Style17"/>
              <w:widowControl w:val="false"/>
              <w:spacing w:lineRule="auto" w:line="240" w:before="0" w:after="0"/>
              <w:jc w:val="both"/>
              <w:rPr>
                <w:rFonts w:ascii="Times New Roman" w:hAnsi="Times New Roman"/>
                <w:sz w:val="28"/>
                <w:szCs w:val="28"/>
              </w:rPr>
            </w:pPr>
            <w:r>
              <w:rPr>
                <w:b/>
                <w:bCs/>
                <w:color w:val="000000"/>
                <w:sz w:val="28"/>
                <w:szCs w:val="28"/>
              </w:rPr>
              <w:t>Знання</w:t>
            </w:r>
          </w:p>
          <w:p>
            <w:pPr>
              <w:pStyle w:val="Style17"/>
              <w:widowControl w:val="false"/>
              <w:spacing w:lineRule="auto" w:line="240" w:before="0" w:after="0"/>
              <w:jc w:val="both"/>
              <w:rPr>
                <w:rFonts w:ascii="Times New Roman" w:hAnsi="Times New Roman"/>
                <w:sz w:val="28"/>
                <w:szCs w:val="28"/>
              </w:rPr>
            </w:pPr>
            <w:r>
              <w:rPr>
                <w:b/>
                <w:bCs/>
                <w:color w:val="000000"/>
                <w:sz w:val="28"/>
                <w:szCs w:val="28"/>
              </w:rPr>
              <w:t>загального законодавства</w:t>
            </w:r>
          </w:p>
        </w:tc>
        <w:tc>
          <w:tcPr>
            <w:tcW w:w="6219" w:type="dxa"/>
            <w:tcBorders>
              <w:top w:val="single" w:sz="2" w:space="0" w:color="000001"/>
              <w:left w:val="single" w:sz="2" w:space="0" w:color="000001"/>
              <w:bottom w:val="single" w:sz="2" w:space="0" w:color="000001"/>
              <w:right w:val="single" w:sz="2" w:space="0" w:color="000001"/>
            </w:tcBorders>
            <w:shd w:color="auto" w:fill="FFFFFF" w:val="clear"/>
          </w:tcPr>
          <w:p>
            <w:pPr>
              <w:pStyle w:val="Style17"/>
              <w:widowControl w:val="false"/>
              <w:suppressAutoHyphens w:val="true"/>
              <w:bidi w:val="0"/>
              <w:spacing w:lineRule="auto" w:line="240" w:before="0" w:after="0"/>
              <w:ind w:left="0" w:right="57" w:firstLine="567"/>
              <w:jc w:val="both"/>
              <w:rPr>
                <w:rFonts w:ascii="Times New Roman" w:hAnsi="Times New Roman"/>
                <w:sz w:val="28"/>
                <w:szCs w:val="28"/>
              </w:rPr>
            </w:pPr>
            <w:r>
              <w:rPr>
                <w:color w:val="000000"/>
                <w:sz w:val="28"/>
                <w:szCs w:val="28"/>
              </w:rPr>
              <w:t>Конституція України;</w:t>
            </w:r>
          </w:p>
          <w:p>
            <w:pPr>
              <w:pStyle w:val="Style17"/>
              <w:widowControl w:val="false"/>
              <w:suppressAutoHyphens w:val="true"/>
              <w:bidi w:val="0"/>
              <w:spacing w:lineRule="auto" w:line="240" w:before="0" w:after="0"/>
              <w:ind w:left="0" w:right="57" w:firstLine="567"/>
              <w:jc w:val="both"/>
              <w:rPr>
                <w:rFonts w:ascii="Times New Roman" w:hAnsi="Times New Roman"/>
                <w:sz w:val="28"/>
                <w:szCs w:val="28"/>
              </w:rPr>
            </w:pPr>
            <w:r>
              <w:rPr>
                <w:color w:val="000000"/>
                <w:sz w:val="28"/>
                <w:szCs w:val="28"/>
              </w:rPr>
              <w:t>Закон України “Про запобігання корупції”;</w:t>
            </w:r>
          </w:p>
          <w:p>
            <w:pPr>
              <w:pStyle w:val="Style17"/>
              <w:widowControl w:val="false"/>
              <w:suppressAutoHyphens w:val="true"/>
              <w:bidi w:val="0"/>
              <w:spacing w:lineRule="auto" w:line="240" w:before="0" w:after="0"/>
              <w:ind w:left="0" w:right="57" w:firstLine="567"/>
              <w:jc w:val="both"/>
              <w:rPr>
                <w:rFonts w:ascii="Times New Roman" w:hAnsi="Times New Roman"/>
                <w:sz w:val="28"/>
                <w:szCs w:val="28"/>
              </w:rPr>
            </w:pPr>
            <w:r>
              <w:rPr>
                <w:color w:val="000000"/>
                <w:sz w:val="28"/>
                <w:szCs w:val="28"/>
              </w:rPr>
              <w:t>Закон України “Про захист персональних даних”;</w:t>
            </w:r>
          </w:p>
          <w:p>
            <w:pPr>
              <w:pStyle w:val="Style17"/>
              <w:widowControl w:val="false"/>
              <w:suppressAutoHyphens w:val="true"/>
              <w:bidi w:val="0"/>
              <w:spacing w:lineRule="auto" w:line="240" w:before="0" w:after="0"/>
              <w:ind w:left="0" w:right="57" w:firstLine="567"/>
              <w:jc w:val="both"/>
              <w:rPr>
                <w:rFonts w:ascii="Times New Roman" w:hAnsi="Times New Roman"/>
                <w:sz w:val="28"/>
                <w:szCs w:val="28"/>
              </w:rPr>
            </w:pPr>
            <w:r>
              <w:rPr>
                <w:color w:val="000000"/>
                <w:sz w:val="28"/>
                <w:szCs w:val="28"/>
              </w:rPr>
              <w:t>Закон України “Про доступ до публічної інформації”.</w:t>
            </w:r>
          </w:p>
        </w:tc>
      </w:tr>
      <w:tr>
        <w:trPr/>
        <w:tc>
          <w:tcPr>
            <w:tcW w:w="546" w:type="dxa"/>
            <w:tcBorders>
              <w:top w:val="single" w:sz="2" w:space="0" w:color="000001"/>
              <w:left w:val="single" w:sz="2" w:space="0" w:color="000001"/>
              <w:bottom w:val="single" w:sz="2" w:space="0" w:color="000001"/>
            </w:tcBorders>
            <w:shd w:color="auto" w:fill="FFFFFF" w:val="clear"/>
          </w:tcPr>
          <w:p>
            <w:pPr>
              <w:pStyle w:val="Style17"/>
              <w:widowControl w:val="false"/>
              <w:spacing w:lineRule="auto" w:line="240" w:before="0" w:after="0"/>
              <w:jc w:val="both"/>
              <w:rPr>
                <w:rFonts w:ascii="Times New Roman" w:hAnsi="Times New Roman"/>
                <w:sz w:val="28"/>
                <w:szCs w:val="28"/>
              </w:rPr>
            </w:pPr>
            <w:r>
              <w:rPr>
                <w:b/>
                <w:bCs/>
                <w:color w:val="000000"/>
                <w:sz w:val="28"/>
                <w:szCs w:val="28"/>
              </w:rPr>
              <w:t>2</w:t>
            </w:r>
          </w:p>
        </w:tc>
        <w:tc>
          <w:tcPr>
            <w:tcW w:w="2850" w:type="dxa"/>
            <w:gridSpan w:val="2"/>
            <w:tcBorders>
              <w:top w:val="single" w:sz="2" w:space="0" w:color="000001"/>
              <w:left w:val="single" w:sz="2" w:space="0" w:color="000001"/>
              <w:bottom w:val="single" w:sz="2" w:space="0" w:color="000001"/>
            </w:tcBorders>
            <w:shd w:color="auto" w:fill="FFFFFF" w:val="clear"/>
          </w:tcPr>
          <w:p>
            <w:pPr>
              <w:pStyle w:val="Style17"/>
              <w:widowControl w:val="false"/>
              <w:spacing w:lineRule="auto" w:line="240" w:before="0" w:after="0"/>
              <w:jc w:val="both"/>
              <w:rPr>
                <w:rFonts w:ascii="Times New Roman" w:hAnsi="Times New Roman"/>
                <w:sz w:val="28"/>
                <w:szCs w:val="28"/>
              </w:rPr>
            </w:pPr>
            <w:r>
              <w:rPr>
                <w:b/>
                <w:bCs/>
                <w:color w:val="000000"/>
                <w:sz w:val="28"/>
                <w:szCs w:val="28"/>
              </w:rPr>
              <w:t>Знання законодавства</w:t>
            </w:r>
          </w:p>
          <w:p>
            <w:pPr>
              <w:pStyle w:val="Style17"/>
              <w:widowControl w:val="false"/>
              <w:spacing w:lineRule="auto" w:line="240" w:before="0" w:after="0"/>
              <w:jc w:val="both"/>
              <w:rPr>
                <w:rFonts w:ascii="Times New Roman" w:hAnsi="Times New Roman"/>
                <w:sz w:val="28"/>
                <w:szCs w:val="28"/>
              </w:rPr>
            </w:pPr>
            <w:r>
              <w:rPr>
                <w:b/>
                <w:bCs/>
                <w:color w:val="000000"/>
                <w:sz w:val="28"/>
                <w:szCs w:val="28"/>
              </w:rPr>
              <w:t>у сфері</w:t>
            </w:r>
          </w:p>
        </w:tc>
        <w:tc>
          <w:tcPr>
            <w:tcW w:w="6219" w:type="dxa"/>
            <w:tcBorders>
              <w:top w:val="single" w:sz="2" w:space="0" w:color="000001"/>
              <w:left w:val="single" w:sz="2" w:space="0" w:color="000001"/>
              <w:bottom w:val="single" w:sz="2" w:space="0" w:color="000001"/>
              <w:right w:val="single" w:sz="2" w:space="0" w:color="000001"/>
            </w:tcBorders>
            <w:shd w:color="auto" w:fill="FFFFFF" w:val="clear"/>
          </w:tcPr>
          <w:p>
            <w:pPr>
              <w:pStyle w:val="Style17"/>
              <w:widowControl w:val="false"/>
              <w:suppressAutoHyphens w:val="true"/>
              <w:bidi w:val="0"/>
              <w:spacing w:lineRule="auto" w:line="240" w:before="0" w:after="0"/>
              <w:ind w:left="0" w:right="57" w:firstLine="567"/>
              <w:jc w:val="both"/>
              <w:rPr>
                <w:rFonts w:ascii="Times New Roman" w:hAnsi="Times New Roman"/>
                <w:sz w:val="28"/>
                <w:szCs w:val="28"/>
              </w:rPr>
            </w:pPr>
            <w:r>
              <w:rPr>
                <w:color w:val="000000"/>
                <w:sz w:val="28"/>
                <w:szCs w:val="28"/>
              </w:rPr>
              <w:t>Закон України “Про Національний архівний фонд і архівні установи”;</w:t>
            </w:r>
          </w:p>
          <w:p>
            <w:pPr>
              <w:pStyle w:val="Style17"/>
              <w:widowControl w:val="false"/>
              <w:suppressAutoHyphens w:val="true"/>
              <w:bidi w:val="0"/>
              <w:spacing w:lineRule="auto" w:line="240" w:before="0" w:after="0"/>
              <w:ind w:left="0" w:right="57" w:firstLine="567"/>
              <w:jc w:val="both"/>
              <w:rPr>
                <w:rFonts w:ascii="Times New Roman" w:hAnsi="Times New Roman"/>
                <w:sz w:val="28"/>
                <w:szCs w:val="28"/>
              </w:rPr>
            </w:pPr>
            <w:r>
              <w:rPr>
                <w:color w:val="000000"/>
                <w:sz w:val="28"/>
                <w:szCs w:val="28"/>
              </w:rPr>
              <w:t>Положення про головні управління Пенсійного фонду України в Автономній Республіці Крим, областях, містах Києві та Севастополі, затверджене постановою Правління Пенсійного фонду України від 22.12.2014 № 28-2;</w:t>
            </w:r>
          </w:p>
          <w:p>
            <w:pPr>
              <w:pStyle w:val="Style17"/>
              <w:widowControl w:val="false"/>
              <w:suppressAutoHyphens w:val="true"/>
              <w:bidi w:val="0"/>
              <w:spacing w:lineRule="auto" w:line="240" w:before="0" w:after="0"/>
              <w:ind w:left="0" w:right="57" w:firstLine="567"/>
              <w:jc w:val="both"/>
              <w:rPr>
                <w:rFonts w:ascii="Times New Roman" w:hAnsi="Times New Roman"/>
                <w:sz w:val="28"/>
                <w:szCs w:val="28"/>
              </w:rPr>
            </w:pPr>
            <w:r>
              <w:rPr>
                <w:color w:val="000000"/>
                <w:sz w:val="28"/>
                <w:szCs w:val="28"/>
              </w:rPr>
              <w:t>Правила організації діловодства та архівного зберігання документів у державних органах, органах місцевого самоврядування, на підприємствах, в установах і організаціях, затверджені наказом Міністерства юстиції України від 18.06.2015 № 1000/5;</w:t>
            </w:r>
          </w:p>
          <w:p>
            <w:pPr>
              <w:pStyle w:val="Style17"/>
              <w:widowControl w:val="false"/>
              <w:suppressAutoHyphens w:val="true"/>
              <w:bidi w:val="0"/>
              <w:spacing w:lineRule="auto" w:line="240" w:before="0" w:after="0"/>
              <w:ind w:left="0" w:right="57" w:firstLine="567"/>
              <w:jc w:val="both"/>
              <w:rPr>
                <w:rFonts w:ascii="Times New Roman" w:hAnsi="Times New Roman"/>
                <w:sz w:val="28"/>
                <w:szCs w:val="28"/>
              </w:rPr>
            </w:pPr>
            <w:r>
              <w:rPr>
                <w:color w:val="000000"/>
                <w:sz w:val="28"/>
                <w:szCs w:val="28"/>
              </w:rPr>
              <w:t>Перелік типових документів, що створюються під час діяльності державних органів та органів місцевого самоврядування, інших установ, підприємств та організацій, із зазначенням строків зберігання документів, затверджений наказом Міністерства юстиції України від 12.04.2012 № 578/5;</w:t>
            </w:r>
          </w:p>
          <w:p>
            <w:pPr>
              <w:pStyle w:val="Style17"/>
              <w:widowControl w:val="false"/>
              <w:suppressAutoHyphens w:val="true"/>
              <w:bidi w:val="0"/>
              <w:spacing w:lineRule="auto" w:line="240" w:before="0" w:after="0"/>
              <w:ind w:left="0" w:right="57" w:firstLine="567"/>
              <w:jc w:val="both"/>
              <w:rPr>
                <w:rFonts w:ascii="Times New Roman" w:hAnsi="Times New Roman"/>
                <w:sz w:val="28"/>
                <w:szCs w:val="28"/>
              </w:rPr>
            </w:pPr>
            <w:r>
              <w:rPr>
                <w:color w:val="000000"/>
                <w:sz w:val="28"/>
                <w:szCs w:val="28"/>
              </w:rPr>
              <w:t>Інструкція з діловодства в Головному управлінні Пенсійного фонду України в Луганській області, затверджена наказом від 12.11.2021 № 1076.</w:t>
            </w:r>
          </w:p>
        </w:tc>
      </w:tr>
      <w:tr>
        <w:trPr/>
        <w:tc>
          <w:tcPr>
            <w:tcW w:w="546" w:type="dxa"/>
            <w:tcBorders>
              <w:top w:val="single" w:sz="2" w:space="0" w:color="000001"/>
              <w:left w:val="single" w:sz="2" w:space="0" w:color="000001"/>
              <w:bottom w:val="single" w:sz="2" w:space="0" w:color="000001"/>
            </w:tcBorders>
            <w:shd w:color="auto" w:fill="FFFFFF" w:val="clear"/>
          </w:tcPr>
          <w:p>
            <w:pPr>
              <w:pStyle w:val="Style17"/>
              <w:widowControl w:val="false"/>
              <w:spacing w:lineRule="auto" w:line="240" w:before="0" w:after="0"/>
              <w:jc w:val="both"/>
              <w:rPr>
                <w:rFonts w:ascii="Times New Roman" w:hAnsi="Times New Roman"/>
                <w:sz w:val="28"/>
                <w:szCs w:val="28"/>
              </w:rPr>
            </w:pPr>
            <w:r>
              <w:rPr>
                <w:b/>
                <w:bCs/>
                <w:color w:val="000000"/>
                <w:sz w:val="28"/>
                <w:szCs w:val="28"/>
              </w:rPr>
              <w:t>3</w:t>
            </w:r>
          </w:p>
        </w:tc>
        <w:tc>
          <w:tcPr>
            <w:tcW w:w="2850" w:type="dxa"/>
            <w:gridSpan w:val="2"/>
            <w:tcBorders>
              <w:top w:val="single" w:sz="2" w:space="0" w:color="000001"/>
              <w:left w:val="single" w:sz="2" w:space="0" w:color="000001"/>
              <w:bottom w:val="single" w:sz="2" w:space="0" w:color="000001"/>
            </w:tcBorders>
            <w:shd w:color="auto" w:fill="FFFFFF" w:val="clear"/>
          </w:tcPr>
          <w:p>
            <w:pPr>
              <w:pStyle w:val="Style17"/>
              <w:widowControl w:val="false"/>
              <w:spacing w:lineRule="auto" w:line="240" w:before="0" w:after="0"/>
              <w:jc w:val="both"/>
              <w:rPr>
                <w:rFonts w:ascii="Times New Roman" w:hAnsi="Times New Roman"/>
                <w:sz w:val="28"/>
                <w:szCs w:val="28"/>
              </w:rPr>
            </w:pPr>
            <w:r>
              <w:rPr>
                <w:b/>
                <w:bCs/>
                <w:color w:val="000000"/>
                <w:sz w:val="28"/>
                <w:szCs w:val="28"/>
              </w:rPr>
              <w:t>Інші знання та уміння</w:t>
            </w:r>
          </w:p>
        </w:tc>
        <w:tc>
          <w:tcPr>
            <w:tcW w:w="6219" w:type="dxa"/>
            <w:tcBorders>
              <w:top w:val="single" w:sz="2" w:space="0" w:color="000001"/>
              <w:left w:val="single" w:sz="2" w:space="0" w:color="000001"/>
              <w:bottom w:val="single" w:sz="2" w:space="0" w:color="000001"/>
              <w:right w:val="single" w:sz="2" w:space="0" w:color="000001"/>
            </w:tcBorders>
            <w:shd w:color="auto" w:fill="FFFFFF" w:val="clear"/>
          </w:tcPr>
          <w:p>
            <w:pPr>
              <w:pStyle w:val="Style17"/>
              <w:widowControl w:val="false"/>
              <w:suppressAutoHyphens w:val="true"/>
              <w:bidi w:val="0"/>
              <w:spacing w:lineRule="auto" w:line="240" w:before="0" w:after="0"/>
              <w:ind w:left="0" w:right="57" w:firstLine="567"/>
              <w:jc w:val="both"/>
              <w:rPr>
                <w:rFonts w:ascii="Times New Roman" w:hAnsi="Times New Roman"/>
                <w:sz w:val="28"/>
                <w:szCs w:val="28"/>
              </w:rPr>
            </w:pPr>
            <w:r>
              <w:rPr>
                <w:color w:val="000000"/>
                <w:sz w:val="28"/>
                <w:szCs w:val="28"/>
              </w:rPr>
              <w:t>рівень досвідченого користувача персонального комп’ютера;</w:t>
            </w:r>
          </w:p>
          <w:p>
            <w:pPr>
              <w:pStyle w:val="Style17"/>
              <w:widowControl w:val="false"/>
              <w:suppressAutoHyphens w:val="true"/>
              <w:bidi w:val="0"/>
              <w:spacing w:lineRule="auto" w:line="240" w:before="0" w:after="0"/>
              <w:ind w:left="0" w:right="57" w:firstLine="567"/>
              <w:jc w:val="both"/>
              <w:rPr>
                <w:rFonts w:ascii="Times New Roman" w:hAnsi="Times New Roman"/>
                <w:sz w:val="28"/>
                <w:szCs w:val="28"/>
              </w:rPr>
            </w:pPr>
            <w:r>
              <w:rPr>
                <w:color w:val="000000"/>
                <w:sz w:val="28"/>
                <w:szCs w:val="28"/>
              </w:rPr>
              <w:t>досвід роботи з Microsoft Office (Word, Excel, Power Point).</w:t>
            </w:r>
          </w:p>
        </w:tc>
      </w:tr>
    </w:tbl>
    <w:p>
      <w:pPr>
        <w:pStyle w:val="Style17"/>
        <w:spacing w:lineRule="auto" w:line="240" w:before="0" w:after="0"/>
        <w:jc w:val="both"/>
        <w:rPr>
          <w:rFonts w:ascii="Times New Roman" w:hAnsi="Times New Roman"/>
          <w:sz w:val="28"/>
          <w:szCs w:val="28"/>
        </w:rPr>
      </w:pPr>
      <w:r>
        <w:rPr>
          <w:sz w:val="28"/>
          <w:szCs w:val="28"/>
        </w:rPr>
      </w:r>
    </w:p>
    <w:p>
      <w:pPr>
        <w:pStyle w:val="Style17"/>
        <w:spacing w:lineRule="auto" w:line="240" w:before="0" w:after="0"/>
        <w:jc w:val="center"/>
        <w:rPr>
          <w:rFonts w:ascii="Times New Roman" w:hAnsi="Times New Roman"/>
          <w:sz w:val="28"/>
          <w:szCs w:val="28"/>
        </w:rPr>
      </w:pPr>
      <w:r>
        <w:rPr>
          <w:sz w:val="28"/>
          <w:szCs w:val="28"/>
        </w:rPr>
        <w:t>____________________________________</w:t>
      </w:r>
    </w:p>
    <w:sectPr>
      <w:type w:val="nextPage"/>
      <w:pgSz w:w="11906" w:h="16838"/>
      <w:pgMar w:left="1701" w:right="567" w:gutter="0" w:header="0" w:top="1134" w:footer="0"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Times New Roman">
    <w:charset w:val="cc"/>
    <w:family w:val="roman"/>
    <w:pitch w:val="variable"/>
  </w:font>
  <w:font w:name="Georgia">
    <w:charset w:val="cc"/>
    <w:family w:val="roman"/>
    <w:pitch w:val="variable"/>
  </w:font>
  <w:font w:name="Liberation Sans">
    <w:altName w:val="Arial"/>
    <w:charset w:val="cc"/>
    <w:family w:val="roman"/>
    <w:pitch w:val="variable"/>
  </w:font>
  <w:font w:name="Liberation Mono">
    <w:altName w:val="Courier New"/>
    <w:charset w:val="cc"/>
    <w:family w:val="roman"/>
    <w:pitch w:val="variable"/>
  </w:font>
</w:fonts>
</file>

<file path=word/settings.xml><?xml version="1.0" encoding="utf-8"?>
<w:settings xmlns:w="http://schemas.openxmlformats.org/wordprocessingml/2006/main">
  <w:zoom w:percent="100"/>
  <w:defaultTabStop w:val="720"/>
  <w:autoHyphenation w:val="true"/>
  <w:hyphenationZone w:val="425"/>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themeFontLang w:val="uk-UA"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uk-UA"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1686c"/>
    <w:pPr>
      <w:widowControl/>
      <w:suppressAutoHyphens w:val="true"/>
      <w:bidi w:val="0"/>
      <w:spacing w:before="0" w:after="0"/>
      <w:jc w:val="center"/>
    </w:pPr>
    <w:rPr>
      <w:rFonts w:ascii="Times New Roman" w:hAnsi="Times New Roman" w:eastAsia="Times New Roman" w:cs="Times New Roman"/>
      <w:color w:val="auto"/>
      <w:kern w:val="0"/>
      <w:sz w:val="20"/>
      <w:szCs w:val="20"/>
      <w:lang w:val="uk-UA" w:eastAsia="uk-UA" w:bidi="ar-SA"/>
    </w:rPr>
  </w:style>
  <w:style w:type="character" w:styleId="DefaultParagraphFont" w:default="1">
    <w:name w:val="Default Paragraph Font"/>
    <w:uiPriority w:val="1"/>
    <w:semiHidden/>
    <w:unhideWhenUsed/>
    <w:qFormat/>
    <w:rPr/>
  </w:style>
  <w:style w:type="character" w:styleId="PlaceholderText">
    <w:name w:val="Placeholder Text"/>
    <w:basedOn w:val="DefaultParagraphFont"/>
    <w:uiPriority w:val="99"/>
    <w:semiHidden/>
    <w:qFormat/>
    <w:rsid w:val="0017797f"/>
    <w:rPr>
      <w:color w:val="808080"/>
    </w:rPr>
  </w:style>
  <w:style w:type="character" w:styleId="Style14" w:customStyle="1">
    <w:name w:val="Підзаголовок Знак"/>
    <w:basedOn w:val="DefaultParagraphFont"/>
    <w:qFormat/>
    <w:rsid w:val="005e2285"/>
    <w:rPr>
      <w:rFonts w:ascii="Georgia" w:hAnsi="Georgia" w:eastAsia="Georgia" w:cs="Georgia"/>
      <w:i/>
      <w:color w:val="666666"/>
      <w:sz w:val="48"/>
      <w:szCs w:val="48"/>
      <w:lang w:eastAsia="zh-CN" w:bidi="hi-IN"/>
    </w:rPr>
  </w:style>
  <w:style w:type="character" w:styleId="Style15">
    <w:name w:val="Hyperlink"/>
    <w:rPr>
      <w:color w:val="000080"/>
      <w:u w:val="single"/>
    </w:rPr>
  </w:style>
  <w:style w:type="paragraph" w:styleId="Style16" w:customStyle="1">
    <w:name w:val="Заголовок"/>
    <w:basedOn w:val="Normal"/>
    <w:next w:val="Style17"/>
    <w:qFormat/>
    <w:pPr>
      <w:keepNext w:val="true"/>
      <w:spacing w:before="240" w:after="120"/>
    </w:pPr>
    <w:rPr>
      <w:rFonts w:ascii="Liberation Sans" w:hAnsi="Liberation Sans" w:eastAsia="Microsoft YaHei" w:cs="Arial"/>
      <w:sz w:val="28"/>
      <w:szCs w:val="28"/>
    </w:rPr>
  </w:style>
  <w:style w:type="paragraph" w:styleId="Style17">
    <w:name w:val="Body Text"/>
    <w:basedOn w:val="Normal"/>
    <w:pPr>
      <w:spacing w:lineRule="auto" w:line="276" w:before="0" w:after="140"/>
    </w:pPr>
    <w:rPr/>
  </w:style>
  <w:style w:type="paragraph" w:styleId="Style18">
    <w:name w:val="List"/>
    <w:basedOn w:val="Style17"/>
    <w:pPr/>
    <w:rPr>
      <w:rFonts w:cs="Arial"/>
    </w:rPr>
  </w:style>
  <w:style w:type="paragraph" w:styleId="Style19">
    <w:name w:val="Caption"/>
    <w:basedOn w:val="Normal"/>
    <w:qFormat/>
    <w:pPr>
      <w:suppressLineNumbers/>
      <w:spacing w:before="120" w:after="120"/>
    </w:pPr>
    <w:rPr>
      <w:rFonts w:cs="Arial Unicode MS"/>
      <w:i/>
      <w:iCs/>
      <w:sz w:val="24"/>
      <w:szCs w:val="24"/>
    </w:rPr>
  </w:style>
  <w:style w:type="paragraph" w:styleId="Style20" w:customStyle="1">
    <w:name w:val="Покажчик"/>
    <w:basedOn w:val="Normal"/>
    <w:qFormat/>
    <w:pPr>
      <w:suppressLineNumbers/>
    </w:pPr>
    <w:rPr>
      <w:rFonts w:cs="Arial"/>
    </w:rPr>
  </w:style>
  <w:style w:type="paragraph" w:styleId="Caption1">
    <w:name w:val="caption1"/>
    <w:basedOn w:val="Normal"/>
    <w:qFormat/>
    <w:pPr>
      <w:suppressLineNumbers/>
      <w:spacing w:before="120" w:after="120"/>
    </w:pPr>
    <w:rPr>
      <w:rFonts w:cs="Arial"/>
      <w:i/>
      <w:iCs/>
      <w:sz w:val="24"/>
      <w:szCs w:val="24"/>
    </w:rPr>
  </w:style>
  <w:style w:type="paragraph" w:styleId="NormalWeb">
    <w:name w:val="Normal (Web)"/>
    <w:basedOn w:val="Normal"/>
    <w:qFormat/>
    <w:pPr/>
    <w:rPr/>
  </w:style>
  <w:style w:type="paragraph" w:styleId="Style21" w:customStyle="1">
    <w:name w:val="Текст у вказаному форматі"/>
    <w:basedOn w:val="Normal"/>
    <w:qFormat/>
    <w:pPr/>
    <w:rPr>
      <w:rFonts w:ascii="Liberation Mono" w:hAnsi="Liberation Mono" w:eastAsia="Liberation Mono" w:cs="Liberation Mono"/>
    </w:rPr>
  </w:style>
  <w:style w:type="paragraph" w:styleId="Bodytext2" w:customStyle="1">
    <w:name w:val="Body text (2)"/>
    <w:basedOn w:val="Normal"/>
    <w:qFormat/>
    <w:pPr>
      <w:shd w:val="clear" w:color="auto" w:fill="FFFFFF"/>
      <w:spacing w:lineRule="exact" w:line="486"/>
    </w:pPr>
    <w:rPr>
      <w:sz w:val="28"/>
      <w:szCs w:val="28"/>
    </w:rPr>
  </w:style>
  <w:style w:type="paragraph" w:styleId="LOnormal" w:customStyle="1">
    <w:name w:val="LO-normal"/>
    <w:qFormat/>
    <w:rsid w:val="005e2285"/>
    <w:pPr>
      <w:widowControl/>
      <w:suppressAutoHyphens w:val="true"/>
      <w:bidi w:val="0"/>
      <w:spacing w:lineRule="auto" w:line="259" w:before="0" w:after="160"/>
      <w:jc w:val="left"/>
    </w:pPr>
    <w:rPr>
      <w:rFonts w:ascii="Calibri" w:hAnsi="Calibri" w:eastAsia="Calibri" w:cs="Calibri" w:asciiTheme="minorHAnsi" w:eastAsiaTheme="minorHAnsi" w:hAnsiTheme="minorHAnsi"/>
      <w:color w:val="auto"/>
      <w:kern w:val="0"/>
      <w:sz w:val="22"/>
      <w:szCs w:val="22"/>
      <w:lang w:val="uk-UA" w:eastAsia="zh-CN" w:bidi="hi-IN"/>
    </w:rPr>
  </w:style>
  <w:style w:type="paragraph" w:styleId="Style22">
    <w:name w:val="Subtitle"/>
    <w:basedOn w:val="LOnormal"/>
    <w:next w:val="LOnormal"/>
    <w:link w:val="Style14"/>
    <w:qFormat/>
    <w:rsid w:val="005e2285"/>
    <w:pPr>
      <w:keepNext w:val="true"/>
      <w:keepLines/>
      <w:spacing w:lineRule="auto" w:line="240" w:before="360" w:after="80"/>
    </w:pPr>
    <w:rPr>
      <w:rFonts w:ascii="Georgia" w:hAnsi="Georgia" w:eastAsia="Georgia" w:cs="Georgia"/>
      <w:i/>
      <w:color w:val="666666"/>
      <w:sz w:val="48"/>
      <w:szCs w:val="48"/>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kadry@lg.pfu.gov.ua"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298</TotalTime>
  <Application>LibreOffice/7.4.3.2$Windows_X86_64 LibreOffice_project/1048a8393ae2eeec98dff31b5c133c5f1d08b890</Application>
  <AppVersion>15.0000</AppVersion>
  <Pages>5</Pages>
  <Words>842</Words>
  <Characters>5897</Characters>
  <CharactersWithSpaces>6659</CharactersWithSpaces>
  <Paragraphs>89</Paragraphs>
  <Company>SPecialiST RePack</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2021-06-17T16:05:00Z</dcterms:created>
  <dc:creator>Ганна Володимирівна Бурова</dc:creator>
  <dc:description/>
  <dc:language>uk-UA</dc:language>
  <cp:lastModifiedBy/>
  <dcterms:modified xsi:type="dcterms:W3CDTF">2024-11-26T12:59:41Z</dcterms:modified>
  <cp:revision>43</cp:revision>
  <dc:subject/>
  <dc:title/>
</cp:coreProperties>
</file>

<file path=docProps/custom.xml><?xml version="1.0" encoding="utf-8"?>
<Properties xmlns="http://schemas.openxmlformats.org/officeDocument/2006/custom-properties" xmlns:vt="http://schemas.openxmlformats.org/officeDocument/2006/docPropsVTypes"/>
</file>