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tbl>
      <w:tblPr>
        <w:tblW w:w="973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306"/>
        <w:gridCol w:w="4385"/>
      </w:tblGrid>
      <w:tr>
        <w:trPr/>
        <w:tc>
          <w:tcPr>
            <w:tcW w:w="3047" w:type="dxa"/>
            <w:tcBorders/>
            <w:shd w:fill="FFFFFF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color w:val="2A2928"/>
                <w:sz w:val="28"/>
                <w:szCs w:val="28"/>
              </w:rPr>
            </w:pPr>
            <w:r>
              <w:rPr>
                <w:color w:val="2A2928"/>
                <w:sz w:val="28"/>
                <w:szCs w:val="28"/>
              </w:rPr>
            </w:r>
          </w:p>
        </w:tc>
        <w:tc>
          <w:tcPr>
            <w:tcW w:w="2306" w:type="dxa"/>
            <w:tcBorders/>
            <w:shd w:fill="FFFFFF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color w:val="2A2928"/>
                <w:sz w:val="28"/>
                <w:szCs w:val="28"/>
              </w:rPr>
            </w:pPr>
            <w:r>
              <w:rPr>
                <w:color w:val="2A2928"/>
                <w:sz w:val="28"/>
                <w:szCs w:val="28"/>
              </w:rPr>
            </w:r>
          </w:p>
        </w:tc>
        <w:tc>
          <w:tcPr>
            <w:tcW w:w="4385" w:type="dxa"/>
            <w:tcBorders/>
            <w:shd w:fill="FFFFFF" w:val="clear"/>
          </w:tcPr>
          <w:p>
            <w:pPr>
              <w:pStyle w:val="Normal"/>
              <w:widowControl w:val="false"/>
              <w:snapToGrid w:val="false"/>
              <w:rPr>
                <w:bCs/>
                <w:color w:val="2A2928"/>
                <w:sz w:val="28"/>
                <w:szCs w:val="28"/>
              </w:rPr>
            </w:pPr>
            <w:r>
              <w:rPr>
                <w:bCs/>
                <w:color w:val="2A2928"/>
                <w:sz w:val="28"/>
                <w:szCs w:val="28"/>
              </w:rPr>
            </w:r>
          </w:p>
          <w:p>
            <w:pPr>
              <w:pStyle w:val="Normal"/>
              <w:widowControl w:val="false"/>
              <w:rPr>
                <w:bCs/>
                <w:color w:val="2A2928"/>
                <w:sz w:val="28"/>
                <w:szCs w:val="28"/>
                <w:shd w:fill="FFFFFF" w:val="clear"/>
              </w:rPr>
            </w:pPr>
            <w:r>
              <w:rPr>
                <w:bCs/>
                <w:color w:val="2A2928"/>
                <w:sz w:val="28"/>
                <w:szCs w:val="28"/>
                <w:shd w:fill="FFFFFF" w:val="clear"/>
              </w:rPr>
              <w:t>Додаток</w:t>
            </w:r>
          </w:p>
          <w:p>
            <w:pPr>
              <w:pStyle w:val="Normal"/>
              <w:widowControl w:val="false"/>
              <w:rPr/>
            </w:pPr>
            <w:r>
              <w:rPr>
                <w:bCs/>
                <w:color w:val="2A2928"/>
                <w:sz w:val="28"/>
                <w:szCs w:val="28"/>
                <w:shd w:fill="FFFFFF" w:val="clear"/>
              </w:rPr>
              <w:t>до</w:t>
            </w:r>
            <w:r>
              <w:rPr>
                <w:shd w:fill="FFFFFF" w:val="clear"/>
              </w:rPr>
              <w:t xml:space="preserve"> </w:t>
            </w:r>
            <w:r>
              <w:rPr>
                <w:bCs/>
                <w:color w:val="2A2928"/>
                <w:sz w:val="28"/>
                <w:szCs w:val="28"/>
                <w:shd w:fill="FFFFFF" w:val="clear"/>
              </w:rPr>
              <w:t>Службової записки</w:t>
            </w:r>
          </w:p>
          <w:p>
            <w:pPr>
              <w:pStyle w:val="Normal"/>
              <w:widowControl w:val="false"/>
              <w:rPr>
                <w:color w:val="2A2928"/>
                <w:sz w:val="28"/>
                <w:szCs w:val="28"/>
                <w:shd w:fill="FFFFFF" w:val="clear"/>
              </w:rPr>
            </w:pPr>
            <w:r>
              <w:rPr>
                <w:color w:val="2A2928"/>
                <w:sz w:val="28"/>
                <w:szCs w:val="28"/>
                <w:shd w:fill="FFFFFF" w:val="clear"/>
              </w:rPr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b/>
          <w:b/>
          <w:bCs/>
          <w:sz w:val="26"/>
          <w:szCs w:val="26"/>
          <w:shd w:fill="FFFFFF" w:val="clear"/>
        </w:rPr>
      </w:pPr>
      <w:r>
        <w:rPr>
          <w:b/>
          <w:bCs/>
          <w:sz w:val="26"/>
          <w:szCs w:val="26"/>
          <w:shd w:fill="FFFFFF" w:val="clear"/>
        </w:rPr>
        <w:t>УМОВИ</w:t>
      </w:r>
    </w:p>
    <w:p>
      <w:pPr>
        <w:pStyle w:val="Normal"/>
        <w:jc w:val="center"/>
        <w:rPr/>
      </w:pPr>
      <w:r>
        <w:rPr>
          <w:b/>
          <w:bCs/>
          <w:sz w:val="26"/>
          <w:szCs w:val="26"/>
          <w:shd w:fill="FFFFFF" w:val="clear"/>
        </w:rPr>
        <w:t xml:space="preserve"> </w:t>
      </w:r>
      <w:r>
        <w:rPr>
          <w:b/>
          <w:bCs/>
          <w:sz w:val="26"/>
          <w:szCs w:val="26"/>
          <w:shd w:fill="FFFFFF" w:val="clear"/>
        </w:rPr>
        <w:t xml:space="preserve">проведення добору на зайняття посади головних спеціалістів Відділу запобігання та виявлення корупції </w:t>
      </w:r>
      <w:r>
        <w:rPr>
          <w:b/>
          <w:sz w:val="26"/>
          <w:szCs w:val="26"/>
          <w:shd w:fill="FFFFFF" w:val="clear"/>
        </w:rPr>
        <w:t>Головного управління Пенсійного фонду України  в Луганській області</w:t>
      </w:r>
    </w:p>
    <w:p>
      <w:pPr>
        <w:pStyle w:val="Normal"/>
        <w:jc w:val="center"/>
        <w:rPr>
          <w:b/>
          <w:b/>
          <w:sz w:val="26"/>
          <w:szCs w:val="26"/>
          <w:shd w:fill="FFFFFF" w:val="clear"/>
        </w:rPr>
      </w:pPr>
      <w:r>
        <w:rPr>
          <w:b/>
          <w:sz w:val="26"/>
          <w:szCs w:val="26"/>
          <w:shd w:fill="FFFFFF" w:val="clear"/>
        </w:rPr>
        <w:t>(3 посади)</w:t>
      </w:r>
    </w:p>
    <w:tbl>
      <w:tblPr>
        <w:tblW w:w="9655" w:type="dxa"/>
        <w:jc w:val="left"/>
        <w:tblInd w:w="35" w:type="dxa"/>
        <w:tblLayout w:type="fixed"/>
        <w:tblCellMar>
          <w:top w:w="55" w:type="dxa"/>
          <w:left w:w="2" w:type="dxa"/>
          <w:bottom w:w="55" w:type="dxa"/>
          <w:right w:w="53" w:type="dxa"/>
        </w:tblCellMar>
      </w:tblPr>
      <w:tblGrid>
        <w:gridCol w:w="503"/>
        <w:gridCol w:w="28"/>
        <w:gridCol w:w="2870"/>
        <w:gridCol w:w="104"/>
        <w:gridCol w:w="6150"/>
      </w:tblGrid>
      <w:tr>
        <w:trPr>
          <w:trHeight w:val="354" w:hRule="atLeast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Загальні умови</w:t>
            </w:r>
          </w:p>
        </w:tc>
      </w:tr>
      <w:tr>
        <w:trPr/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rPr/>
            </w:pPr>
            <w:r>
              <w:rPr>
                <w:b/>
                <w:bCs/>
                <w:sz w:val="26"/>
                <w:szCs w:val="26"/>
                <w:shd w:fill="auto" w:val="clear"/>
              </w:rPr>
              <w:t>Посадові обов</w:t>
            </w:r>
            <w:r>
              <w:rPr>
                <w:b/>
                <w:bCs/>
                <w:sz w:val="26"/>
                <w:szCs w:val="26"/>
                <w:shd w:fill="auto" w:val="clear"/>
                <w:lang w:val="en-US"/>
              </w:rPr>
              <w:t>'</w:t>
            </w:r>
            <w:r>
              <w:rPr>
                <w:b/>
                <w:bCs/>
                <w:sz w:val="26"/>
                <w:szCs w:val="26"/>
                <w:shd w:fill="auto" w:val="clear"/>
              </w:rPr>
              <w:t>язки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70" w:right="113" w:hanging="0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організовувати та проводити заходи щодо запобігання корупційним правопорушенням, або правопорушенням пов’язаним з корупцією;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/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брати участь в організації та проведенні семінарів, інших навчальних заходів з питань, що віднесені до компетенції;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/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надавати структурним підрозділам Головного управління, окремим  працівникам роз’яснення щодо застосування антикорупційного законодавства;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забезпечувати вимоги антикорупційного фінансового контролю;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вживати заходи з виявлення конфлікту інтересів та сприяти його врегулюванню;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здійснювати реалізацію повноважень із захисту викривачів, забезпечувати дотримання їхніх прав та гарантій відповідно до  законодавства щодо захисту викривачів;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забезпечувати своєчасне подання відповідної звітності Головним управлінням;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розглядати у межах своїх повноважень, та  брати участь у розгляді звернень, заяв та скарг, що надходять до Головного управління;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>
                <w:sz w:val="28"/>
                <w:szCs w:val="28"/>
              </w:rPr>
            </w:pPr>
            <w:r>
              <w:rPr>
                <w:rFonts w:eastAsia="Times New Roman" w:cs="Times New Roman"/>
                <w:bCs/>
                <w:color w:val="000000"/>
                <w:sz w:val="28"/>
                <w:szCs w:val="28"/>
                <w:shd w:fill="auto" w:val="clear"/>
                <w:lang w:eastAsia="zh-CN"/>
              </w:rPr>
              <w:t xml:space="preserve"> </w:t>
            </w:r>
            <w:r>
              <w:rPr>
                <w:rFonts w:eastAsia="Times New Roman CYR" w:cs="Times New Roman CYR"/>
                <w:bCs/>
                <w:color w:val="000000"/>
                <w:sz w:val="28"/>
                <w:szCs w:val="28"/>
                <w:shd w:fill="auto" w:val="clear"/>
                <w:lang w:eastAsia="zh-CN"/>
              </w:rPr>
              <w:t>виконувати доручення керівника в межах компетенції;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>
                <w:rFonts w:eastAsia="Times New Roman CYR" w:cs="Times New Roman CYR"/>
                <w:bCs/>
                <w:color w:val="000000"/>
                <w:sz w:val="26"/>
                <w:szCs w:val="26"/>
                <w:shd w:fill="auto" w:val="clear"/>
                <w:lang w:eastAsia="zh-CN"/>
              </w:rPr>
            </w:pPr>
            <w:r>
              <w:rPr>
                <w:rFonts w:eastAsia="Times New Roman CYR" w:cs="Times New Roman CYR"/>
                <w:bCs/>
                <w:color w:val="000000"/>
                <w:sz w:val="28"/>
                <w:szCs w:val="28"/>
                <w:shd w:fill="auto" w:val="clear"/>
                <w:lang w:eastAsia="zh-CN"/>
              </w:rPr>
              <w:t>дотримуватись</w:t>
            </w:r>
            <w:r>
              <w:rPr>
                <w:rFonts w:eastAsia="Times New Roman CYR" w:cs="Times New Roman CYR"/>
                <w:bCs/>
                <w:color w:val="000000"/>
                <w:sz w:val="26"/>
                <w:szCs w:val="26"/>
                <w:shd w:fill="auto" w:val="clear"/>
                <w:lang w:eastAsia="zh-CN"/>
              </w:rPr>
              <w:t xml:space="preserve"> правил внутрішнього службового розпорядку.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/>
            </w:pPr>
            <w:r>
              <w:rPr>
                <w:rFonts w:eastAsia="Times New Roman CYR" w:cs="Times New Roman CYR"/>
                <w:bCs/>
                <w:color w:val="000000"/>
                <w:sz w:val="28"/>
                <w:szCs w:val="28"/>
                <w:shd w:fill="auto" w:val="clear"/>
                <w:lang w:eastAsia="zh-CN"/>
              </w:rPr>
              <w:t xml:space="preserve">Місце </w:t>
            </w:r>
            <w:r>
              <w:rPr>
                <w:sz w:val="28"/>
                <w:szCs w:val="28"/>
                <w:shd w:fill="auto" w:val="clear"/>
              </w:rPr>
              <w:t>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</w:p>
        </w:tc>
      </w:tr>
      <w:tr>
        <w:trPr/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fill="auto" w:val="clear"/>
              </w:rPr>
              <w:t>Умови оплати праці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ind w:left="7" w:right="126" w:hanging="7"/>
              <w:rPr>
                <w:shd w:fill="auto" w:val="clear"/>
                <w:lang w:val="ru-RU" w:eastAsia="ru-RU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посадовий оклад –11855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>
        <w:trPr/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fill="auto" w:val="clear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>строково, до призначення на посаду переможця конкурсу або 12 місяців з дня припинення чи скасування воєнного стану</w:t>
            </w:r>
          </w:p>
        </w:tc>
      </w:tr>
      <w:tr>
        <w:trPr/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  <w:shd w:fill="auto" w:val="clear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bidi w:val="0"/>
              <w:ind w:left="0" w:righ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>
            <w:pPr>
              <w:pStyle w:val="Normal"/>
              <w:widowControl w:val="false"/>
              <w:bidi w:val="0"/>
              <w:ind w:left="0" w:righ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>
            <w:pPr>
              <w:pStyle w:val="Normal"/>
              <w:widowControl w:val="false"/>
              <w:bidi w:val="0"/>
              <w:ind w:left="0" w:righ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>прізвище, ім’я, по батькові кандидата;</w:t>
            </w:r>
          </w:p>
          <w:p>
            <w:pPr>
              <w:pStyle w:val="Normal"/>
              <w:widowControl w:val="false"/>
              <w:bidi w:val="0"/>
              <w:ind w:left="0" w:righ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>реквізити документа, що посвідчує особу та підтверджує громадянство України;</w:t>
            </w:r>
          </w:p>
          <w:p>
            <w:pPr>
              <w:pStyle w:val="Normal"/>
              <w:widowControl w:val="false"/>
              <w:bidi w:val="0"/>
              <w:ind w:left="0" w:righ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>підтвердження наявності відповідного ступеня вищої освіти;</w:t>
            </w:r>
          </w:p>
          <w:p>
            <w:pPr>
              <w:pStyle w:val="Normal"/>
              <w:widowControl w:val="false"/>
              <w:bidi w:val="0"/>
              <w:ind w:left="0" w:righ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>
            <w:pPr>
              <w:pStyle w:val="Normal"/>
              <w:widowControl w:val="false"/>
              <w:bidi w:val="0"/>
              <w:ind w:left="0" w:righ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</w:rPr>
              <w:t xml:space="preserve"> </w:t>
            </w:r>
            <w:r>
              <w:rPr>
                <w:sz w:val="28"/>
                <w:szCs w:val="28"/>
                <w:shd w:fill="auto" w:val="clear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>
            <w:pPr>
              <w:pStyle w:val="Normal"/>
              <w:widowControl w:val="false"/>
              <w:shd w:val="clear" w:fill="FFFFFF"/>
              <w:tabs>
                <w:tab w:val="clear" w:pos="408"/>
                <w:tab w:val="left" w:pos="612" w:leader="none"/>
              </w:tabs>
              <w:spacing w:before="0" w:after="20"/>
              <w:ind w:left="0" w:right="102" w:hanging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  <w:shd w:fill="auto" w:val="clear"/>
                <w:lang w:val="ru-RU" w:eastAsia="ru-RU"/>
              </w:rPr>
              <w:t xml:space="preserve"> </w:t>
            </w:r>
            <w:r>
              <w:rPr>
                <w:sz w:val="28"/>
                <w:szCs w:val="28"/>
                <w:shd w:fill="auto" w:val="clear"/>
                <w:lang w:val="ru-RU" w:eastAsia="ru-RU"/>
              </w:rPr>
              <w:t xml:space="preserve">4) документи приймаються до 17 год. 00 хв.  </w:t>
              <w:br/>
            </w:r>
            <w:r>
              <w:rPr>
                <w:sz w:val="28"/>
                <w:szCs w:val="28"/>
                <w:shd w:fill="auto" w:val="clear"/>
                <w:lang w:val="uk-UA" w:eastAsia="ru-RU"/>
              </w:rPr>
              <w:t>0</w:t>
            </w:r>
            <w:r>
              <w:rPr>
                <w:sz w:val="28"/>
                <w:szCs w:val="28"/>
                <w:shd w:fill="auto" w:val="clear"/>
                <w:lang w:val="uk-UA" w:eastAsia="ru-RU"/>
              </w:rPr>
              <w:t>6</w:t>
            </w:r>
            <w:r>
              <w:rPr>
                <w:sz w:val="28"/>
                <w:szCs w:val="28"/>
                <w:shd w:fill="auto" w:val="clear"/>
                <w:lang w:val="uk-UA" w:eastAsia="ru-RU"/>
              </w:rPr>
              <w:t xml:space="preserve"> грудня</w:t>
            </w:r>
            <w:r>
              <w:rPr>
                <w:sz w:val="28"/>
                <w:szCs w:val="28"/>
                <w:shd w:fill="auto" w:val="clear"/>
                <w:lang w:val="ru-RU" w:eastAsia="ru-RU"/>
              </w:rPr>
              <w:t xml:space="preserve"> 2024 року</w:t>
            </w:r>
          </w:p>
        </w:tc>
      </w:tr>
      <w:tr>
        <w:trPr/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rPr>
                <w:b/>
                <w:b/>
                <w:bCs/>
                <w:color w:val="000000"/>
                <w:sz w:val="26"/>
                <w:szCs w:val="26"/>
                <w:shd w:fill="auto" w:val="clear"/>
              </w:rPr>
            </w:pPr>
            <w:r>
              <w:rPr>
                <w:b/>
                <w:bCs/>
                <w:color w:val="000000"/>
                <w:sz w:val="26"/>
                <w:szCs w:val="26"/>
                <w:shd w:fill="auto" w:val="clear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0" w:hanging="0"/>
              <w:jc w:val="both"/>
              <w:rPr/>
            </w:pPr>
            <w:r>
              <w:rPr>
                <w:color w:val="000000"/>
                <w:sz w:val="28"/>
                <w:szCs w:val="28"/>
                <w:shd w:fill="auto" w:val="clear"/>
              </w:rPr>
              <w:t xml:space="preserve">співбесіда з начальником Відділу з питань запобігання та виявлення корупції відбудеться дистанційно </w:t>
            </w:r>
            <w:r>
              <w:rPr>
                <w:sz w:val="28"/>
                <w:szCs w:val="28"/>
                <w:shd w:fill="auto" w:val="clear"/>
              </w:rPr>
              <w:t>відбудеться 12 грудня 2024 року дистанційно за допомогою сервісу ZOOM (посилання на конференцію та час буде надіслано на вказану в заяві електронну пошту))</w:t>
            </w:r>
          </w:p>
        </w:tc>
      </w:tr>
      <w:tr>
        <w:trPr/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rPr/>
            </w:pPr>
            <w:r>
              <w:rPr>
                <w:b/>
                <w:bCs/>
                <w:sz w:val="26"/>
                <w:szCs w:val="26"/>
                <w:shd w:fill="auto" w:val="clear"/>
              </w:rPr>
              <w:t>Прізвище, ім</w:t>
            </w:r>
            <w:r>
              <w:rPr>
                <w:b/>
                <w:bCs/>
                <w:sz w:val="26"/>
                <w:szCs w:val="26"/>
                <w:shd w:fill="auto" w:val="clear"/>
                <w:lang w:val="ru-RU"/>
              </w:rPr>
              <w:t>'</w:t>
            </w:r>
            <w:r>
              <w:rPr>
                <w:b/>
                <w:bCs/>
                <w:sz w:val="26"/>
                <w:szCs w:val="26"/>
                <w:shd w:fill="auto" w:val="clear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before="0" w:after="120"/>
              <w:ind w:left="113" w:right="0" w:hanging="0"/>
              <w:jc w:val="left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color w:val="000000"/>
                <w:sz w:val="28"/>
                <w:szCs w:val="28"/>
                <w:shd w:fill="auto" w:val="clear"/>
              </w:rPr>
              <w:t xml:space="preserve">Петрова Наталія Зіновіїна, (0506444025), </w:t>
              <w:br/>
            </w:r>
            <w:hyperlink r:id="rId2">
              <w:r>
                <w:rPr>
                  <w:rStyle w:val="Style18"/>
                  <w:color w:val="000000"/>
                  <w:sz w:val="28"/>
                  <w:szCs w:val="28"/>
                  <w:shd w:fill="auto" w:val="clear"/>
                </w:rPr>
                <w:t>kadry@lg.pfu.gov.ua</w:t>
              </w:r>
            </w:hyperlink>
          </w:p>
        </w:tc>
      </w:tr>
      <w:tr>
        <w:trPr>
          <w:trHeight w:val="358" w:hRule="atLeast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Кваліфікаційні вимоги</w:t>
            </w:r>
          </w:p>
        </w:tc>
      </w:tr>
      <w:tr>
        <w:trPr/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1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Освіта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13" w:right="170" w:hanging="0"/>
              <w:jc w:val="both"/>
              <w:rPr>
                <w:color w:val="000000"/>
                <w:sz w:val="26"/>
                <w:szCs w:val="26"/>
                <w:shd w:fill="auto" w:val="clear"/>
              </w:rPr>
            </w:pPr>
            <w:r>
              <w:rPr>
                <w:color w:val="000000"/>
                <w:sz w:val="26"/>
                <w:szCs w:val="26"/>
                <w:shd w:fill="auto" w:val="clear"/>
              </w:rPr>
              <w:t>вища, не нижче ступеня молодшого бакалавра або бакалавра</w:t>
            </w:r>
          </w:p>
        </w:tc>
      </w:tr>
      <w:tr>
        <w:trPr>
          <w:trHeight w:val="581" w:hRule="atLeast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2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Досвід роботи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ind w:left="142" w:right="138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без вимог до досвіду роботи</w:t>
            </w:r>
          </w:p>
        </w:tc>
      </w:tr>
      <w:tr>
        <w:trPr/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3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Володіння державною мовою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  <w:vAlign w:val="center"/>
          </w:tcPr>
          <w:p>
            <w:pPr>
              <w:pStyle w:val="Normal"/>
              <w:widowControl w:val="false"/>
              <w:ind w:left="142" w:right="138" w:hanging="0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вільне володіння державною мовою</w:t>
            </w:r>
          </w:p>
        </w:tc>
      </w:tr>
      <w:tr>
        <w:trPr>
          <w:trHeight w:val="447" w:hRule="atLeast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Вимоги до компетентності</w:t>
            </w:r>
          </w:p>
        </w:tc>
      </w:tr>
      <w:tr>
        <w:trPr>
          <w:trHeight w:val="510" w:hRule="atLeast"/>
        </w:trPr>
        <w:tc>
          <w:tcPr>
            <w:tcW w:w="350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Вимога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Компоненти вимоги</w:t>
            </w:r>
          </w:p>
        </w:tc>
      </w:tr>
      <w:tr>
        <w:trPr>
          <w:trHeight w:val="342" w:hRule="atLeast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1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rPr>
                <w:b/>
                <w:b/>
                <w:bCs/>
                <w:sz w:val="26"/>
                <w:szCs w:val="26"/>
                <w:shd w:fill="auto" w:val="clear"/>
                <w:lang w:eastAsia="zh-CN" w:bidi="hi-IN"/>
              </w:rPr>
            </w:pPr>
            <w:r>
              <w:rPr>
                <w:b/>
                <w:bCs/>
                <w:sz w:val="26"/>
                <w:szCs w:val="26"/>
                <w:shd w:fill="auto" w:val="clear"/>
                <w:lang w:eastAsia="zh-CN" w:bidi="hi-IN"/>
              </w:rPr>
              <w:t>Досягнення результатів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0" w:right="180" w:firstLine="180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zh-CN" w:bidi="hi-IN"/>
              </w:rPr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zh-CN" w:bidi="hi-IN"/>
              </w:rPr>
              <w:t>здатність спрямовувати власні дії на захист публічних інтересів, утримуватись від конфлікту між приватними та публічними інтересами, ефективно розпоряджатись державними ресурсами;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180" w:right="180" w:hanging="0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zh-CN" w:bidi="hi-IN"/>
              </w:rPr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zh-CN" w:bidi="hi-IN"/>
              </w:rPr>
              <w:t>здатність дотримуватись правил етичної поведінки, порядності, чесності, справедливості, підзвітності;</w:t>
            </w:r>
          </w:p>
          <w:p>
            <w:pPr>
              <w:pStyle w:val="Normal"/>
              <w:widowControl w:val="false"/>
              <w:suppressAutoHyphens w:val="true"/>
              <w:bidi w:val="0"/>
              <w:snapToGrid w:val="false"/>
              <w:spacing w:before="0" w:after="0"/>
              <w:ind w:left="0" w:right="180" w:firstLine="180"/>
              <w:jc w:val="both"/>
              <w:rPr>
                <w:sz w:val="26"/>
                <w:szCs w:val="26"/>
                <w:shd w:fill="auto" w:val="clear"/>
                <w:lang w:eastAsia="zh-CN" w:bidi="hi-IN"/>
              </w:rPr>
            </w:pPr>
            <w:r>
              <w:rPr>
                <w:sz w:val="26"/>
                <w:szCs w:val="26"/>
                <w:shd w:fill="auto" w:val="clear"/>
                <w:lang w:eastAsia="zh-CN" w:bidi="hi-IN"/>
              </w:rPr>
              <w:t>усвідомлення обмеження у виявленні переваг, прихильності та/або політичних партій, громадських, релігійних та інших організацій</w:t>
            </w:r>
          </w:p>
        </w:tc>
      </w:tr>
      <w:tr>
        <w:trPr/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2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napToGrid w:val="false"/>
              <w:rPr>
                <w:b/>
                <w:b/>
                <w:bCs/>
                <w:sz w:val="26"/>
                <w:szCs w:val="26"/>
                <w:shd w:fill="auto" w:val="clear"/>
                <w:lang w:eastAsia="zh-CN" w:bidi="hi-IN"/>
              </w:rPr>
            </w:pPr>
            <w:r>
              <w:rPr>
                <w:b/>
                <w:bCs/>
                <w:sz w:val="26"/>
                <w:szCs w:val="26"/>
                <w:shd w:fill="auto" w:val="clear"/>
                <w:lang w:eastAsia="zh-CN" w:bidi="hi-IN"/>
              </w:rPr>
              <w:t>Відповідальність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napToGrid w:val="false"/>
              <w:ind w:left="142" w:right="138" w:hanging="0"/>
              <w:jc w:val="both"/>
              <w:rPr>
                <w:sz w:val="26"/>
                <w:szCs w:val="26"/>
                <w:shd w:fill="auto" w:val="clear"/>
                <w:lang w:eastAsia="zh-CN" w:bidi="hi-IN"/>
              </w:rPr>
            </w:pPr>
            <w:r>
              <w:rPr>
                <w:sz w:val="26"/>
                <w:szCs w:val="26"/>
                <w:shd w:fill="auto" w:val="clear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>
            <w:pPr>
              <w:pStyle w:val="Normal"/>
              <w:widowControl w:val="false"/>
              <w:ind w:left="142" w:right="138" w:hanging="0"/>
              <w:jc w:val="both"/>
              <w:rPr>
                <w:sz w:val="26"/>
                <w:szCs w:val="26"/>
                <w:shd w:fill="auto" w:val="clear"/>
                <w:lang w:eastAsia="zh-CN" w:bidi="hi-IN"/>
              </w:rPr>
            </w:pPr>
            <w:r>
              <w:rPr>
                <w:sz w:val="26"/>
                <w:szCs w:val="26"/>
                <w:shd w:fill="auto" w:val="clear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>
        <w:trPr/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3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Аналітичні здібності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napToGrid w:val="false"/>
              <w:ind w:left="142" w:right="138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>
            <w:pPr>
              <w:pStyle w:val="Normal"/>
              <w:widowControl w:val="false"/>
              <w:ind w:left="142" w:right="138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>
        <w:trPr/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napToGrid w:val="false"/>
              <w:jc w:val="center"/>
              <w:rPr>
                <w:b/>
                <w:b/>
                <w:sz w:val="26"/>
                <w:szCs w:val="26"/>
                <w:shd w:fill="auto" w:val="clear"/>
              </w:rPr>
            </w:pPr>
            <w:r>
              <w:rPr>
                <w:b/>
                <w:sz w:val="26"/>
                <w:szCs w:val="26"/>
                <w:shd w:fill="auto" w:val="clear"/>
              </w:rPr>
              <w:t>Професійні знання</w:t>
            </w:r>
          </w:p>
        </w:tc>
      </w:tr>
      <w:tr>
        <w:trPr/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1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Знання  законодавства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left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Знання: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left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- Конституції України;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left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- Закону України “Про державну службу”;</w:t>
            </w:r>
          </w:p>
          <w:p>
            <w:pPr>
              <w:pStyle w:val="Normal"/>
              <w:widowControl w:val="false"/>
              <w:bidi w:val="0"/>
              <w:snapToGrid w:val="false"/>
              <w:spacing w:before="0" w:after="0"/>
              <w:ind w:left="113" w:right="170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- Закону України “Про запобігання корупції”;</w:t>
            </w:r>
          </w:p>
        </w:tc>
      </w:tr>
      <w:tr>
        <w:trPr/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2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napToGrid w:val="false"/>
              <w:jc w:val="both"/>
              <w:rPr>
                <w:b/>
                <w:b/>
                <w:sz w:val="26"/>
                <w:szCs w:val="26"/>
                <w:shd w:fill="auto" w:val="clear"/>
              </w:rPr>
            </w:pPr>
            <w:r>
              <w:rPr>
                <w:b/>
                <w:sz w:val="26"/>
                <w:szCs w:val="26"/>
                <w:shd w:fill="auto" w:val="clear"/>
              </w:rPr>
              <w:t>Знання законодавства</w:t>
            </w:r>
          </w:p>
          <w:p>
            <w:pPr>
              <w:pStyle w:val="Normal"/>
              <w:widowControl w:val="false"/>
              <w:snapToGrid w:val="false"/>
              <w:jc w:val="both"/>
              <w:rPr>
                <w:b/>
                <w:b/>
                <w:sz w:val="26"/>
                <w:szCs w:val="26"/>
                <w:shd w:fill="auto" w:val="clear"/>
              </w:rPr>
            </w:pPr>
            <w:r>
              <w:rPr>
                <w:b/>
                <w:sz w:val="26"/>
                <w:szCs w:val="26"/>
                <w:shd w:fill="auto" w:val="clear"/>
              </w:rPr>
              <w:t>у сфері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Знання: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- Закону України “Про доступ до публічної інформації”;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- Закону України “Про звернення громадян”;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- Закону України “Про інформацію”;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>- Закону України “Про захист персональних даних”;</w:t>
            </w:r>
          </w:p>
          <w:p>
            <w:pPr>
              <w:pStyle w:val="Normal"/>
              <w:widowControl w:val="false"/>
              <w:ind w:left="0" w:right="0" w:firstLine="7"/>
              <w:jc w:val="both"/>
              <w:rPr/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>- Закону України “Про доступ до публічної інформації”;</w:t>
            </w:r>
          </w:p>
          <w:p>
            <w:pPr>
              <w:pStyle w:val="Normal"/>
              <w:widowControl w:val="false"/>
              <w:ind w:left="0" w:right="0" w:firstLine="7"/>
              <w:jc w:val="both"/>
              <w:rPr/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>- Закону України “Про звернення громадян”;</w:t>
            </w:r>
          </w:p>
          <w:p>
            <w:pPr>
              <w:pStyle w:val="Normal"/>
              <w:widowControl w:val="false"/>
              <w:ind w:left="0" w:right="165" w:hanging="0"/>
              <w:jc w:val="both"/>
              <w:rPr/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>- Закону України “Про інформацію”;</w:t>
            </w:r>
          </w:p>
          <w:p>
            <w:pPr>
              <w:pStyle w:val="Normal"/>
              <w:widowControl w:val="false"/>
              <w:ind w:left="0" w:right="165" w:hanging="0"/>
              <w:jc w:val="both"/>
              <w:rPr/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>- Закону України “Про захист персональних даних”;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89" w:right="180" w:hanging="0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>- Типового положення про уповноважений підрозділ (уповноважену особу) з питань запобігання та виявлення корупції, затвердженого наказом Національного агентства з питань запобігання корупції від 27 травня 2021 року № 277/21;</w:t>
            </w:r>
          </w:p>
          <w:p>
            <w:pPr>
              <w:pStyle w:val="Normal"/>
              <w:widowControl w:val="false"/>
              <w:suppressAutoHyphens w:val="true"/>
              <w:bidi w:val="0"/>
              <w:spacing w:before="0" w:after="0"/>
              <w:ind w:left="89" w:right="180" w:firstLine="89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>- Постанова Кабінету Міністрів України від                         13 червня 2000 року № 950 “Про затвердження Порядку проведення службового розслідування”  (із змінами);</w:t>
            </w:r>
          </w:p>
          <w:p>
            <w:pPr>
              <w:pStyle w:val="Normal"/>
              <w:widowControl w:val="false"/>
              <w:suppressAutoHyphens w:val="true"/>
              <w:bidi w:val="0"/>
              <w:snapToGrid w:val="false"/>
              <w:spacing w:before="0" w:after="0"/>
              <w:ind w:left="89" w:right="0" w:hanging="0"/>
              <w:jc w:val="both"/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</w:pPr>
            <w:r>
              <w:rPr>
                <w:rFonts w:eastAsia="Times New Roman" w:cs="Times New Roman"/>
                <w:color w:val="000000"/>
                <w:kern w:val="0"/>
                <w:sz w:val="26"/>
                <w:szCs w:val="26"/>
                <w:shd w:fill="auto" w:val="clear"/>
                <w:lang w:val="uk-UA" w:eastAsia="uk-UA" w:bidi="ar-SA"/>
              </w:rPr>
              <w:t>- інших нормативно-правових актів, що регулюють відносини, пов’язані з виконанням функцій відділу</w:t>
            </w:r>
          </w:p>
        </w:tc>
      </w:tr>
      <w:tr>
        <w:trPr/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jc w:val="center"/>
              <w:rPr>
                <w:sz w:val="26"/>
                <w:szCs w:val="26"/>
                <w:shd w:fill="auto" w:val="clear"/>
                <w:lang w:val="en-US"/>
              </w:rPr>
            </w:pPr>
            <w:r>
              <w:rPr>
                <w:sz w:val="26"/>
                <w:szCs w:val="26"/>
                <w:shd w:fill="auto" w:val="clear"/>
                <w:lang w:val="en-US"/>
              </w:rPr>
              <w:t>3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snapToGrid w:val="false"/>
              <w:rPr>
                <w:b/>
                <w:b/>
                <w:bCs/>
                <w:sz w:val="26"/>
                <w:szCs w:val="26"/>
                <w:shd w:fill="auto" w:val="clear"/>
              </w:rPr>
            </w:pPr>
            <w:r>
              <w:rPr>
                <w:b/>
                <w:bCs/>
                <w:sz w:val="26"/>
                <w:szCs w:val="26"/>
                <w:shd w:fill="auto" w:val="clear"/>
              </w:rPr>
              <w:t>Знання та уміння працювати з комп’ютером (рівень користувача)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FFFFFF" w:val="clear"/>
          </w:tcPr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Рівень досвідченого користувача: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both"/>
              <w:rPr/>
            </w:pPr>
            <w:r>
              <w:rPr>
                <w:sz w:val="26"/>
                <w:szCs w:val="26"/>
                <w:shd w:fill="auto" w:val="clear"/>
              </w:rPr>
              <w:t xml:space="preserve">досвід роботи з офісним пакетом </w:t>
            </w:r>
            <w:r>
              <w:rPr>
                <w:sz w:val="26"/>
                <w:szCs w:val="26"/>
                <w:shd w:fill="auto" w:val="clear"/>
                <w:lang w:val="en-US"/>
              </w:rPr>
              <w:t>Microsoft Office (Word, Excel, Power Point);</w:t>
            </w:r>
          </w:p>
          <w:p>
            <w:pPr>
              <w:pStyle w:val="Normal"/>
              <w:widowControl w:val="false"/>
              <w:bidi w:val="0"/>
              <w:spacing w:before="0" w:after="0"/>
              <w:ind w:left="113" w:right="170" w:hanging="0"/>
              <w:jc w:val="both"/>
              <w:rPr>
                <w:sz w:val="26"/>
                <w:szCs w:val="26"/>
                <w:shd w:fill="auto" w:val="clear"/>
              </w:rPr>
            </w:pPr>
            <w:r>
              <w:rPr>
                <w:sz w:val="26"/>
                <w:szCs w:val="26"/>
                <w:shd w:fill="auto" w:val="clear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>
      <w:pPr>
        <w:pStyle w:val="Normal"/>
        <w:jc w:val="center"/>
        <w:rPr>
          <w:shd w:fill="FFFF00" w:val="clear"/>
        </w:rPr>
      </w:pPr>
      <w:bookmarkStart w:id="0" w:name="_GoBack"/>
      <w:bookmarkEnd w:id="0"/>
      <w:r>
        <w:rPr/>
        <w:t>_______________________________________________________</w:t>
      </w:r>
    </w:p>
    <w:sectPr>
      <w:headerReference w:type="default" r:id="rId3"/>
      <w:headerReference w:type="first" r:id="rId4"/>
      <w:footerReference w:type="default" r:id="rId5"/>
      <w:footerReference w:type="first" r:id="rId6"/>
      <w:type w:val="nextPage"/>
      <w:pgSz w:w="11906" w:h="16838"/>
      <w:pgMar w:left="1701" w:right="567" w:gutter="0" w:header="600" w:top="1159" w:footer="708" w:bottom="765"/>
      <w:pgNumType w:fmt="decimal"/>
      <w:formProt w:val="false"/>
      <w:titlePg/>
      <w:textDirection w:val="lrTb"/>
      <w:docGrid w:type="default" w:linePitch="600" w:charSpace="819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8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8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4</w:t>
    </w:r>
    <w:r>
      <w:rPr/>
      <w:fldChar w:fldCharType="end"/>
    </w:r>
  </w:p>
  <w:p>
    <w:pPr>
      <w:pStyle w:val="Normal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defaultTabStop w:val="4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uk-UA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uk-UA" w:eastAsia="uk-UA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character" w:styleId="2">
    <w:name w:val="Основной текст (2)_"/>
    <w:qFormat/>
    <w:rPr>
      <w:sz w:val="26"/>
      <w:szCs w:val="26"/>
      <w:shd w:fill="FFFFFF" w:val="clear"/>
    </w:rPr>
  </w:style>
  <w:style w:type="character" w:styleId="5">
    <w:name w:val="Основной текст (5)_"/>
    <w:qFormat/>
    <w:rPr>
      <w:i/>
      <w:iCs/>
      <w:sz w:val="26"/>
      <w:szCs w:val="26"/>
      <w:shd w:fill="FFFFFF" w:val="clear"/>
    </w:rPr>
  </w:style>
  <w:style w:type="character" w:styleId="51">
    <w:name w:val="Основной текст (5) + Не курсив"/>
    <w:basedOn w:val="5"/>
    <w:qFormat/>
    <w:rPr>
      <w:i/>
      <w:iCs/>
      <w:sz w:val="26"/>
      <w:szCs w:val="26"/>
      <w:shd w:fill="FFFFFF" w:val="clear"/>
    </w:rPr>
  </w:style>
  <w:style w:type="character" w:styleId="Style17">
    <w:name w:val="Интернет-ссылка"/>
    <w:qFormat/>
    <w:rPr>
      <w:color w:val="000080"/>
      <w:u w:val="single"/>
      <w:lang w:val="zxx" w:eastAsia="zxx" w:bidi="zxx"/>
    </w:rPr>
  </w:style>
  <w:style w:type="character" w:styleId="Style18">
    <w:name w:val="Hyperlink"/>
    <w:rPr>
      <w:color w:val="000080"/>
      <w:u w:val="single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cs="Ari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3">
    <w:name w:val="Покажчик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24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25">
    <w:name w:val="Верхній і нижній колонтитули"/>
    <w:basedOn w:val="Normal"/>
    <w:qFormat/>
    <w:pPr/>
    <w:rPr/>
  </w:style>
  <w:style w:type="paragraph" w:styleId="Style26">
    <w:name w:val="Колонтитул"/>
    <w:basedOn w:val="Normal"/>
    <w:qFormat/>
    <w:pPr/>
    <w:rPr/>
  </w:style>
  <w:style w:type="paragraph" w:styleId="Style27">
    <w:name w:val="Header"/>
    <w:basedOn w:val="Normal"/>
    <w:pPr>
      <w:tabs>
        <w:tab w:val="clear" w:pos="408"/>
        <w:tab w:val="center" w:pos="4819" w:leader="none"/>
        <w:tab w:val="right" w:pos="9639" w:leader="none"/>
      </w:tabs>
    </w:pPr>
    <w:rPr/>
  </w:style>
  <w:style w:type="paragraph" w:styleId="Style28">
    <w:name w:val="Footer"/>
    <w:basedOn w:val="Normal"/>
    <w:pPr>
      <w:tabs>
        <w:tab w:val="clear" w:pos="408"/>
        <w:tab w:val="center" w:pos="4819" w:leader="none"/>
        <w:tab w:val="right" w:pos="9639" w:leader="none"/>
      </w:tabs>
    </w:pPr>
    <w:rPr/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21">
    <w:name w:val="Основной текст (2)"/>
    <w:basedOn w:val="Normal"/>
    <w:qFormat/>
    <w:pPr>
      <w:widowControl w:val="false"/>
      <w:shd w:val="clear" w:fill="FFFFFF"/>
      <w:spacing w:lineRule="exact" w:line="312" w:before="240" w:after="0"/>
      <w:jc w:val="both"/>
    </w:pPr>
    <w:rPr>
      <w:sz w:val="26"/>
      <w:szCs w:val="26"/>
      <w:lang w:val="ru-RU" w:eastAsia="ru-RU"/>
    </w:rPr>
  </w:style>
  <w:style w:type="paragraph" w:styleId="52">
    <w:name w:val="Основной текст (5)"/>
    <w:basedOn w:val="Normal"/>
    <w:qFormat/>
    <w:pPr>
      <w:widowControl w:val="false"/>
      <w:shd w:val="clear" w:fill="FFFFFF"/>
      <w:spacing w:lineRule="exact" w:line="312"/>
      <w:jc w:val="both"/>
    </w:pPr>
    <w:rPr>
      <w:i/>
      <w:iCs/>
      <w:sz w:val="26"/>
      <w:szCs w:val="26"/>
      <w:lang w:val="ru-RU" w:eastAsia="ru-RU"/>
    </w:rPr>
  </w:style>
  <w:style w:type="paragraph" w:styleId="NormalWeb">
    <w:name w:val="Normal (Web)"/>
    <w:basedOn w:val="Normal"/>
    <w:qFormat/>
    <w:pPr>
      <w:spacing w:before="280" w:after="280"/>
    </w:pPr>
    <w:rPr>
      <w:sz w:val="24"/>
      <w:szCs w:val="24"/>
      <w:lang w:val="ru-RU" w:eastAsia="ru-RU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Style29">
    <w:name w:val="Body Text Indent"/>
    <w:basedOn w:val="Normal"/>
    <w:pPr>
      <w:spacing w:before="0" w:after="120"/>
      <w:ind w:left="283" w:right="0" w:hanging="0"/>
    </w:pPr>
    <w:rPr/>
  </w:style>
  <w:style w:type="paragraph" w:styleId="NormalTable">
    <w:name w:val="Normal Table"/>
    <w:qFormat/>
    <w:pPr>
      <w:widowControl/>
      <w:suppressAutoHyphens w:val="true"/>
      <w:bidi w:val="0"/>
      <w:spacing w:before="0" w:after="0"/>
      <w:jc w:val="left"/>
      <w:textAlignment w:val="auto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Style30">
    <w:name w:val="Вміст таблиці"/>
    <w:basedOn w:val="Normal"/>
    <w:qFormat/>
    <w:pPr>
      <w:widowControl w:val="false"/>
      <w:suppressLineNumbers/>
    </w:pPr>
    <w:rPr/>
  </w:style>
  <w:style w:type="paragraph" w:styleId="Style31">
    <w:name w:val="Заголовок таблиці"/>
    <w:basedOn w:val="Style30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adry@lg.pfu.gov.ua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Application>LibreOffice/7.4.3.2$Windows_X86_64 LibreOffice_project/1048a8393ae2eeec98dff31b5c133c5f1d08b890</Application>
  <AppVersion>15.0000</AppVersion>
  <Pages>4</Pages>
  <Words>847</Words>
  <Characters>5818</Characters>
  <CharactersWithSpaces>6628</CharactersWithSpaces>
  <Paragraphs>90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2024-11-22T15:05:28Z</dcterms:created>
  <dc:creator/>
  <dc:description/>
  <dc:language>uk-UA</dc:language>
  <cp:lastModifiedBy/>
  <cp:lastPrinted>2023-02-07T09:18:00Z</cp:lastPrinted>
  <dcterms:modified xsi:type="dcterms:W3CDTF">2024-11-26T13:05:06Z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