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133"/>
        <w:ind w:hanging="0" w:left="5103"/>
        <w:rPr>
          <w:rFonts w:ascii="Times New Roman" w:hAnsi="Times New Roman"/>
          <w:sz w:val="24"/>
          <w:szCs w:val="24"/>
          <w:highlight w:val="none"/>
          <w:shd w:fill="auto" w:val="clear"/>
        </w:rPr>
      </w:pPr>
      <w:r>
        <w:rPr>
          <w:rFonts w:ascii="Times New Roman" w:hAnsi="Times New Roman"/>
          <w:sz w:val="24"/>
          <w:szCs w:val="24"/>
          <w:shd w:fill="auto" w:val="clear"/>
        </w:rPr>
      </w:r>
    </w:p>
    <w:p>
      <w:pPr>
        <w:pStyle w:val="Normal"/>
        <w:spacing w:before="0" w:after="133"/>
        <w:ind w:hanging="0" w:left="5103"/>
        <w:rPr>
          <w:rFonts w:ascii="Times New Roman" w:hAnsi="Times New Roman"/>
          <w:sz w:val="24"/>
          <w:szCs w:val="24"/>
          <w:highlight w:val="none"/>
          <w:shd w:fill="auto" w:val="clear"/>
        </w:rPr>
      </w:pPr>
      <w:r>
        <w:rPr>
          <w:rFonts w:ascii="Times New Roman" w:hAnsi="Times New Roman"/>
          <w:sz w:val="24"/>
          <w:szCs w:val="24"/>
          <w:shd w:fill="auto" w:val="clear"/>
        </w:rPr>
      </w:r>
    </w:p>
    <w:p>
      <w:pPr>
        <w:pStyle w:val="Normal"/>
        <w:spacing w:before="0" w:after="133"/>
        <w:ind w:hanging="0" w:left="5103"/>
        <w:rPr>
          <w:rFonts w:ascii="Times New Roman" w:hAnsi="Times New Roman"/>
          <w:sz w:val="24"/>
          <w:szCs w:val="24"/>
          <w:highlight w:val="none"/>
          <w:shd w:fill="auto" w:val="clear"/>
        </w:rPr>
      </w:pPr>
      <w:r>
        <w:rPr>
          <w:rFonts w:ascii="Times New Roman" w:hAnsi="Times New Roman"/>
          <w:sz w:val="24"/>
          <w:szCs w:val="24"/>
          <w:shd w:fill="auto" w:val="clear"/>
        </w:rPr>
      </w:r>
    </w:p>
    <w:p>
      <w:pPr>
        <w:pStyle w:val="Normal"/>
        <w:spacing w:before="0" w:after="133"/>
        <w:ind w:hanging="0" w:left="5103"/>
        <w:rPr>
          <w:rFonts w:ascii="Times New Roman" w:hAnsi="Times New Roman"/>
          <w:sz w:val="24"/>
          <w:szCs w:val="24"/>
          <w:highlight w:val="none"/>
          <w:shd w:fill="auto" w:val="clear"/>
        </w:rPr>
      </w:pPr>
      <w:r>
        <w:rPr>
          <w:rFonts w:cs="Times New Roman" w:ascii="Times New Roman" w:hAnsi="Times New Roman"/>
          <w:b/>
          <w:bCs/>
          <w:i w:val="false"/>
          <w:iCs w:val="false"/>
          <w:color w:val="000000"/>
          <w:sz w:val="24"/>
          <w:szCs w:val="24"/>
          <w:shd w:fill="auto" w:val="clear"/>
          <w:lang w:val="uk-UA"/>
        </w:rPr>
        <w:tab/>
        <w:tab/>
        <w:tab/>
      </w:r>
      <w:r>
        <w:rPr>
          <w:rFonts w:cs="Times New Roman" w:ascii="Times New Roman" w:hAnsi="Times New Roman"/>
          <w:i w:val="false"/>
          <w:iCs w:val="false"/>
          <w:color w:val="000000"/>
          <w:sz w:val="24"/>
          <w:szCs w:val="24"/>
          <w:shd w:fill="auto" w:val="clear"/>
        </w:rPr>
        <w:t>ЗАТВЕРДЖЕНО</w:t>
      </w:r>
    </w:p>
    <w:p>
      <w:pPr>
        <w:pStyle w:val="Normal"/>
        <w:spacing w:lineRule="auto" w:line="264" w:before="0" w:after="133"/>
        <w:ind w:hanging="10" w:left="5760" w:right="552"/>
        <w:rPr>
          <w:rFonts w:ascii="Times New Roman" w:hAnsi="Times New Roman"/>
          <w:sz w:val="24"/>
          <w:szCs w:val="24"/>
          <w:highlight w:val="none"/>
          <w:shd w:fill="auto" w:val="clear"/>
        </w:rPr>
      </w:pPr>
      <w:r>
        <w:rPr>
          <w:rFonts w:cs="Times New Roman" w:ascii="Times New Roman" w:hAnsi="Times New Roman"/>
          <w:i w:val="false"/>
          <w:iCs w:val="false"/>
          <w:color w:val="000000"/>
          <w:sz w:val="24"/>
          <w:szCs w:val="24"/>
          <w:shd w:fill="auto" w:val="clear"/>
        </w:rPr>
        <w:t>Наказ Головного управління Пенсійного фонду України в Луганській області</w:t>
      </w:r>
    </w:p>
    <w:p>
      <w:pPr>
        <w:pStyle w:val="Normal"/>
        <w:spacing w:lineRule="auto" w:line="264" w:before="0" w:after="616"/>
        <w:ind w:hanging="10" w:left="5760" w:right="552"/>
        <w:rPr>
          <w:rFonts w:ascii="Times New Roman" w:hAnsi="Times New Roman"/>
          <w:sz w:val="24"/>
          <w:szCs w:val="24"/>
          <w:highlight w:val="none"/>
          <w:shd w:fill="auto" w:val="clear"/>
        </w:rPr>
      </w:pPr>
      <w:r>
        <w:rPr>
          <w:rFonts w:cs="Times New Roman" w:ascii="Times New Roman" w:hAnsi="Times New Roman"/>
          <w:i w:val="false"/>
          <w:iCs w:val="false"/>
          <w:color w:val="000000"/>
          <w:sz w:val="24"/>
          <w:szCs w:val="24"/>
          <w:shd w:fill="auto" w:val="clear"/>
        </w:rPr>
        <w:t>___ __________ ___ року № __</w:t>
      </w:r>
    </w:p>
    <w:p>
      <w:pPr>
        <w:pStyle w:val="Normal"/>
        <w:jc w:val="center"/>
        <w:rPr>
          <w:rFonts w:ascii="Times New Roman" w:hAnsi="Times New Roman"/>
          <w:sz w:val="24"/>
          <w:szCs w:val="24"/>
          <w:highlight w:val="none"/>
          <w:shd w:fill="auto" w:val="clear"/>
        </w:rPr>
      </w:pPr>
      <w:r>
        <w:rPr>
          <w:rFonts w:cs="Times New Roman" w:ascii="Times New Roman" w:hAnsi="Times New Roman"/>
          <w:b/>
          <w:bCs/>
          <w:i w:val="false"/>
          <w:iCs w:val="false"/>
          <w:color w:val="000000"/>
          <w:sz w:val="24"/>
          <w:szCs w:val="24"/>
          <w:shd w:fill="auto" w:val="clear"/>
        </w:rPr>
        <w:t>ТЕХНОЛОГІЧНА КАРТКА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4"/>
          <w:szCs w:val="24"/>
          <w:highlight w:val="none"/>
          <w:shd w:fill="auto" w:val="clear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  <w:shd w:fill="auto" w:val="clear"/>
          <w:lang w:eastAsia="ru-RU"/>
        </w:rPr>
        <w:t>адміністративної послуги з надання державної соціальної допомоги на дітей-сиріт та дітей, позбавлених батьківського піклування, осіб з їх числа, у тому числі з інвалідністю, які перебувають у дитячих будинках сімейного типу та прийомних сім’ях, грошового забезпечення батькам-вихователям і прийомним батькам за надання соціальних послуг у дитячих будинках сімейного типу та прийомних сім’ях</w:t>
      </w:r>
    </w:p>
    <w:p>
      <w:pPr>
        <w:pStyle w:val="Normal"/>
        <w:spacing w:lineRule="auto" w:line="240" w:before="0" w:after="0"/>
        <w:jc w:val="left"/>
        <w:rPr>
          <w:rFonts w:ascii="Times New Roman" w:hAnsi="Times New Roman" w:cs="Times New Roman"/>
          <w:b/>
          <w:bCs/>
          <w:sz w:val="24"/>
          <w:szCs w:val="24"/>
          <w:highlight w:val="none"/>
          <w:shd w:fill="auto" w:val="clear"/>
          <w:lang w:eastAsia="ru-RU"/>
        </w:rPr>
      </w:pPr>
      <w:r>
        <w:rPr>
          <w:rFonts w:cs="Times New Roman" w:ascii="Times New Roman" w:hAnsi="Times New Roman"/>
          <w:b/>
          <w:bCs/>
          <w:sz w:val="24"/>
          <w:szCs w:val="24"/>
          <w:shd w:fill="auto" w:val="clear"/>
          <w:lang w:eastAsia="ru-RU"/>
        </w:rPr>
      </w:r>
    </w:p>
    <w:tbl>
      <w:tblPr>
        <w:tblW w:w="9688" w:type="dxa"/>
        <w:jc w:val="left"/>
        <w:tblInd w:w="105" w:type="dxa"/>
        <w:tblLayout w:type="fixed"/>
        <w:tblCellMar>
          <w:top w:w="50" w:type="dxa"/>
          <w:left w:w="50" w:type="dxa"/>
          <w:bottom w:w="50" w:type="dxa"/>
          <w:right w:w="50" w:type="dxa"/>
        </w:tblCellMar>
        <w:tblLook w:val="00a0"/>
      </w:tblPr>
      <w:tblGrid>
        <w:gridCol w:w="621"/>
        <w:gridCol w:w="3282"/>
        <w:gridCol w:w="2046"/>
        <w:gridCol w:w="727"/>
        <w:gridCol w:w="3012"/>
      </w:tblGrid>
      <w:tr>
        <w:trPr>
          <w:trHeight w:val="1080" w:hRule="atLeast"/>
        </w:trPr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№</w:t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п/п</w:t>
            </w:r>
          </w:p>
        </w:tc>
        <w:tc>
          <w:tcPr>
            <w:tcW w:w="3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Етапи надання послуги</w:t>
            </w:r>
          </w:p>
        </w:tc>
        <w:tc>
          <w:tcPr>
            <w:tcW w:w="2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Відповідальна посадова особа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bCs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Дія</w:t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bCs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(В,У, П,З</w:t>
            </w:r>
            <w:r>
              <w:rPr>
                <w:rFonts w:cs="Times New Roman" w:ascii="Times New Roman" w:hAnsi="Times New Roman"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)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Термін</w:t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виконання</w:t>
            </w:r>
          </w:p>
        </w:tc>
      </w:tr>
      <w:tr>
        <w:trPr>
          <w:trHeight w:val="384" w:hRule="atLeast"/>
        </w:trPr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1</w:t>
            </w:r>
          </w:p>
        </w:tc>
        <w:tc>
          <w:tcPr>
            <w:tcW w:w="32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2</w:t>
            </w:r>
          </w:p>
        </w:tc>
        <w:tc>
          <w:tcPr>
            <w:tcW w:w="204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3</w:t>
            </w:r>
          </w:p>
        </w:tc>
        <w:tc>
          <w:tcPr>
            <w:tcW w:w="7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4</w:t>
            </w:r>
          </w:p>
        </w:tc>
        <w:tc>
          <w:tcPr>
            <w:tcW w:w="30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5</w:t>
            </w:r>
          </w:p>
        </w:tc>
      </w:tr>
      <w:tr>
        <w:trPr>
          <w:trHeight w:val="2211" w:hRule="atLeast"/>
        </w:trPr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1</w:t>
            </w:r>
          </w:p>
        </w:tc>
        <w:tc>
          <w:tcPr>
            <w:tcW w:w="3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ind w:hanging="0" w:left="0" w:right="0"/>
              <w:jc w:val="left"/>
              <w:rPr>
                <w:rFonts w:ascii="Times New Roman" w:hAnsi="Times New Roman"/>
                <w:i w:val="false"/>
                <w:i w:val="false"/>
                <w:iCs w:val="false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  <w:t>П</w:t>
            </w:r>
            <w:r>
              <w:rPr>
                <w:rFonts w:cs="Times New Roman"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>рийом заяви з необхідними документами та/або відомостями, реєстрація прийнятих документів та формування електронної особової справи</w:t>
            </w:r>
            <w:bookmarkStart w:id="0" w:name="n68"/>
          </w:p>
          <w:p>
            <w:pPr>
              <w:pStyle w:val="Rvps2"/>
              <w:spacing w:before="0" w:after="150"/>
              <w:ind w:firstLine="450" w:left="0" w:right="0"/>
              <w:rPr>
                <w:rFonts w:ascii="Times New Roman" w:hAnsi="Times New Roman"/>
                <w:i/>
                <w:i/>
                <w:iCs/>
                <w:sz w:val="24"/>
                <w:szCs w:val="24"/>
                <w:highlight w:val="none"/>
                <w:shd w:fill="auto" w:val="clear"/>
              </w:rPr>
            </w:pPr>
            <w:bookmarkStart w:id="1" w:name="n144"/>
            <w:bookmarkEnd w:id="1"/>
            <w:r>
              <w:rPr>
                <w:rFonts w:cs="Times New Roman" w:ascii="Times New Roman" w:hAnsi="Times New Roman"/>
                <w:b w:val="false"/>
                <w:bCs w:val="false"/>
                <w:i/>
                <w:iCs/>
                <w:color w:val="000000"/>
                <w:sz w:val="24"/>
                <w:szCs w:val="24"/>
                <w:shd w:fill="auto" w:val="clear"/>
                <w:lang w:val="uk-UA" w:eastAsia="uk-UA"/>
              </w:rPr>
              <w:t>Якщо для отримання державної соціальної допомоги, грошового забезпечення необхідно подати документи та/або відомості, що містяться в інформаційно-комунікаційних системах, або якщо такі документи та/або відомості можуть бути отримані або підтверджені шляхом електронної інформаційної взаємодії з інформаційно-комунікаційними системами та публічними електронними реєстрами органів державної влади, такі документи та/або відомості не подаються, а в заяві зазначаються відомості, необхідні для верифікації особи та отримання даних з відповідних реєстрів і надання державної соціальної допомоги та грошового забезпечення</w:t>
            </w:r>
            <w:bookmarkEnd w:id="0"/>
          </w:p>
        </w:tc>
        <w:tc>
          <w:tcPr>
            <w:tcW w:w="2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Уповноважені посадові особи відділів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обслуговування громадян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 xml:space="preserve">№ </w:t>
            </w: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1-12 (сервісні центри)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/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</w:t>
            </w: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повноважені посадові особи центрів</w:t>
            </w:r>
          </w:p>
          <w:p>
            <w:pPr>
              <w:pStyle w:val="Rvps2"/>
              <w:spacing w:before="0" w:after="15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надання адміністративних послуг</w:t>
            </w:r>
          </w:p>
          <w:p>
            <w:pPr>
              <w:pStyle w:val="Rvps2"/>
              <w:spacing w:before="0" w:after="15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lang w:val="uk-UA" w:eastAsia="uk-UA"/>
              </w:rPr>
              <w:t>уповноважені посадові особи виконавчого органу сільської, селищної, міської ради відповідної територіальної громади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Rvps2"/>
              <w:spacing w:before="0" w:after="15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4"/>
                <w:szCs w:val="24"/>
                <w:shd w:fill="auto" w:val="clear"/>
              </w:rPr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 день прийому документів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4"/>
                <w:szCs w:val="24"/>
                <w:shd w:fill="auto" w:val="clear"/>
              </w:rPr>
            </w:r>
          </w:p>
        </w:tc>
      </w:tr>
      <w:tr>
        <w:trPr>
          <w:trHeight w:val="2211" w:hRule="atLeast"/>
        </w:trPr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2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0"/>
              <w:spacing w:lineRule="auto" w:line="228" w:before="0" w:after="160"/>
              <w:jc w:val="left"/>
              <w:rPr>
                <w:rStyle w:val="Spanrvts0"/>
                <w:rFonts w:ascii="Times New Roman" w:hAnsi="Times New Roman" w:eastAsia="Liberation Serif" w:cs="Liberation Serif"/>
                <w:color w:val="000000"/>
                <w:spacing w:val="-2"/>
                <w:sz w:val="24"/>
                <w:szCs w:val="24"/>
                <w:lang w:val="uk-UA" w:eastAsia="hi-IN"/>
              </w:rPr>
            </w:pPr>
            <w:r>
              <w:rPr>
                <w:rStyle w:val="Style13"/>
                <w:rFonts w:eastAsia="Liberation Serif" w:cs="Liberation Serif" w:ascii="Times New Roman" w:hAnsi="Times New Roman"/>
                <w:color w:val="000000"/>
                <w:sz w:val="24"/>
                <w:szCs w:val="24"/>
                <w:lang w:eastAsia="hi-IN"/>
              </w:rPr>
              <w:t xml:space="preserve">Передача </w:t>
            </w:r>
            <w:r>
              <w:rPr>
                <w:rStyle w:val="Spanrvts0"/>
                <w:rFonts w:eastAsia="Liberation Serif" w:cs="Liberation Serif" w:ascii="Times New Roman" w:hAnsi="Times New Roman"/>
                <w:color w:val="000000"/>
                <w:sz w:val="24"/>
                <w:szCs w:val="24"/>
                <w:lang w:eastAsia="hi-IN"/>
              </w:rPr>
              <w:t xml:space="preserve">у формі електронної справи сканованих копій заяви, підписаних заявником, і долучених наявних сканованих копій документів з накладанням </w:t>
            </w:r>
            <w:r>
              <w:rPr>
                <w:rStyle w:val="Spanrvts0"/>
                <w:rFonts w:eastAsia="Liberation Serif" w:cs="Liberation Serif" w:ascii="Times New Roman" w:hAnsi="Times New Roman"/>
                <w:color w:val="000000"/>
                <w:sz w:val="24"/>
                <w:szCs w:val="24"/>
                <w:lang w:val="uk-UA" w:eastAsia="hi-IN"/>
              </w:rPr>
              <w:t>на електронну справу електронного підпису посадової особи</w:t>
            </w:r>
          </w:p>
        </w:tc>
        <w:tc>
          <w:tcPr>
            <w:tcW w:w="204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/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Уповноважені посадові особи центрів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/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надання адміністративних послуг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Liberation Serif" w:cs="Times New Roman"/>
                <w:b w:val="false"/>
                <w:bCs w:val="false"/>
                <w:i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highlight w:val="none"/>
                <w:shd w:fill="auto" w:val="clear"/>
                <w:lang w:val="uk-UA" w:eastAsia="hi-IN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</w:r>
          </w:p>
          <w:p>
            <w:pPr>
              <w:pStyle w:val="Rvps2"/>
              <w:spacing w:before="0" w:after="150"/>
              <w:ind w:hanging="0" w:left="0" w:right="0"/>
              <w:jc w:val="left"/>
              <w:rPr/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uk-UA"/>
              </w:rPr>
              <w:t>уповноважені посадові особи виконавчого органу сільської, селищної, міської, районної у місті рад</w:t>
            </w:r>
          </w:p>
        </w:tc>
        <w:tc>
          <w:tcPr>
            <w:tcW w:w="7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left"/>
              <w:rPr/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30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Rvps2"/>
              <w:spacing w:before="0" w:after="150"/>
              <w:ind w:hanging="0" w:left="0" w:right="0"/>
              <w:jc w:val="both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  <w:t>Не пізніше наступного робочого дня після прийому документів</w:t>
            </w:r>
          </w:p>
        </w:tc>
      </w:tr>
      <w:tr>
        <w:trPr/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3</w:t>
            </w:r>
          </w:p>
        </w:tc>
        <w:tc>
          <w:tcPr>
            <w:tcW w:w="32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0"/>
              <w:spacing w:before="0" w:after="160"/>
              <w:jc w:val="left"/>
              <w:rPr/>
            </w:pPr>
            <w:r>
              <w:rPr>
                <w:rFonts w:ascii="Times New Roman" w:hAnsi="Times New Roman"/>
                <w:sz w:val="24"/>
                <w:szCs w:val="24"/>
                <w:lang w:val="uk-UA" w:eastAsia="uk-UA"/>
              </w:rPr>
              <w:t>Опрацювання звернення та оформлення (погодження) результату надання адміністративної послуги</w:t>
            </w:r>
          </w:p>
        </w:tc>
        <w:tc>
          <w:tcPr>
            <w:tcW w:w="204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/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Уповноважені посадові особи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/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Управління пенсійного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/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забезпечення, надання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/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страхових виплат, соціальних послуг, житлових субсидій та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/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пільг</w:t>
            </w:r>
          </w:p>
        </w:tc>
        <w:tc>
          <w:tcPr>
            <w:tcW w:w="7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left"/>
              <w:rPr/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30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Rvps2"/>
              <w:spacing w:before="0" w:after="150"/>
              <w:ind w:hanging="0" w:left="0" w:right="0"/>
              <w:rPr/>
            </w:pPr>
            <w:r>
              <w:rPr>
                <w:rStyle w:val="Spanrvts0"/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  <w:t>Протягом десяти робочих днів з дати надходження документів або відомостей, приймається рішення про призначення грошової компенсації або про відмову в її призначенні.</w:t>
            </w:r>
          </w:p>
        </w:tc>
      </w:tr>
      <w:tr>
        <w:trPr/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4</w:t>
            </w:r>
          </w:p>
        </w:tc>
        <w:tc>
          <w:tcPr>
            <w:tcW w:w="32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Інформування про прийняте рішення</w:t>
            </w:r>
          </w:p>
        </w:tc>
        <w:tc>
          <w:tcPr>
            <w:tcW w:w="204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Уповноважені посадові особи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Управління обслуговування громадян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7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</w:t>
            </w:r>
          </w:p>
        </w:tc>
        <w:tc>
          <w:tcPr>
            <w:tcW w:w="30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Rvps2"/>
              <w:spacing w:before="0" w:after="15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z w:val="24"/>
                <w:szCs w:val="24"/>
                <w:shd w:fill="auto" w:val="clear"/>
                <w:lang w:val="uk-UA" w:eastAsia="uk-UA"/>
              </w:rPr>
              <w:t>Невідкладно, а за наявності обґрунтованих причин – не більш як через три робочі дні з дня прийняття відповідного рішення орган Пенсійного фонду України повідомляє про прийняте рішення, шляхом надсилання повідомлення у паперовій або електронній формі (за наявності адреси електронної пошти).</w:t>
            </w:r>
          </w:p>
          <w:p>
            <w:pPr>
              <w:pStyle w:val="Rvps2"/>
              <w:spacing w:before="0" w:after="15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z w:val="24"/>
                <w:szCs w:val="24"/>
                <w:shd w:fill="auto" w:val="clear"/>
                <w:lang w:val="uk-UA" w:eastAsia="uk-UA"/>
              </w:rPr>
              <w:t>Якщо заява з необхідними документами та/або відомостями була подана через центр надання адміністративних послуг, орган Пенсійного фонду України інформує центр надання адміністративних послуг про прийняте рішення протягом трьох робочих днів з дня прийняття рішення.</w:t>
            </w:r>
          </w:p>
        </w:tc>
      </w:tr>
    </w:tbl>
    <w:p>
      <w:pPr>
        <w:pStyle w:val="Normal"/>
        <w:widowControl w:val="false"/>
        <w:tabs>
          <w:tab w:val="clear" w:pos="708"/>
        </w:tabs>
        <w:spacing w:lineRule="auto" w:line="240" w:before="30" w:after="15"/>
        <w:ind w:hanging="0" w:left="0" w:right="0"/>
        <w:jc w:val="left"/>
        <w:rPr>
          <w:rFonts w:ascii="Times New Roman" w:hAnsi="Times New Roman"/>
          <w:b/>
          <w:i w:val="false"/>
          <w:i w:val="false"/>
          <w:iCs w:val="false"/>
          <w:color w:val="auto"/>
          <w:sz w:val="24"/>
          <w:szCs w:val="24"/>
          <w:highlight w:val="none"/>
          <w:shd w:fill="auto" w:val="clear"/>
        </w:rPr>
      </w:pPr>
      <w:r>
        <w:rPr>
          <w:rFonts w:ascii="Times New Roman" w:hAnsi="Times New Roman"/>
          <w:b/>
          <w:i w:val="false"/>
          <w:iCs w:val="false"/>
          <w:color w:val="000000"/>
          <w:sz w:val="24"/>
          <w:szCs w:val="24"/>
          <w:shd w:fill="auto" w:val="clear"/>
        </w:rPr>
      </w:r>
    </w:p>
    <w:p>
      <w:pPr>
        <w:pStyle w:val="Normal"/>
        <w:widowControl w:val="false"/>
        <w:tabs>
          <w:tab w:val="clear" w:pos="708"/>
        </w:tabs>
        <w:spacing w:lineRule="auto" w:line="240" w:before="30" w:after="15"/>
        <w:ind w:hanging="0" w:left="0" w:righ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widowControl w:val="false"/>
        <w:tabs>
          <w:tab w:val="clear" w:pos="708"/>
        </w:tabs>
        <w:spacing w:lineRule="auto" w:line="240" w:before="30" w:after="15"/>
        <w:ind w:hanging="0" w:left="0" w:right="0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i/>
          <w:iCs/>
          <w:color w:val="auto"/>
          <w:sz w:val="24"/>
          <w:szCs w:val="24"/>
        </w:rPr>
        <w:tab/>
        <w:t>Умовні позначки: В — виконує, У — бере участь, П — погоджує, З — затверджує.</w:t>
      </w:r>
    </w:p>
    <w:sectPr>
      <w:headerReference w:type="default" r:id="rId2"/>
      <w:type w:val="nextPage"/>
      <w:pgSz w:w="11906" w:h="16838"/>
      <w:pgMar w:left="1440" w:right="685" w:gutter="0" w:header="278" w:top="704" w:footer="0" w:bottom="2247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01"/>
    <w:family w:val="roman"/>
    <w:pitch w:val="default"/>
  </w:font>
  <w:font w:name="Arial"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widowControl/>
      <w:suppressAutoHyphens w:val="true"/>
      <w:bidi w:val="0"/>
      <w:spacing w:lineRule="auto" w:line="259" w:before="0" w:after="160"/>
      <w:jc w:val="left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95"/>
  <w:defaultTabStop w:val="708"/>
  <w:autoHyphenation w:val="true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imes New Roman" w:cs="Times New Roman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locked="1" w:uiPriority="0" w:semiHidden="0" w:unhideWhenUsed="0" w:qFormat="1"/>
    <w:lsdException w:name="heading 1" w:locked="1" w:uiPriority="0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 w:semiHidden="0" w:unhideWhenUsed="0"/>
    <w:lsdException w:name="toc 2" w:locked="1" w:uiPriority="0" w:semiHidden="0" w:unhideWhenUsed="0"/>
    <w:lsdException w:name="toc 3" w:locked="1" w:uiPriority="0" w:semiHidden="0" w:unhideWhenUsed="0"/>
    <w:lsdException w:name="toc 4" w:locked="1" w:uiPriority="0" w:semiHidden="0" w:unhideWhenUsed="0"/>
    <w:lsdException w:name="toc 5" w:locked="1" w:uiPriority="0" w:semiHidden="0" w:unhideWhenUsed="0"/>
    <w:lsdException w:name="toc 6" w:locked="1" w:uiPriority="0" w:semiHidden="0" w:unhideWhenUsed="0"/>
    <w:lsdException w:name="toc 7" w:locked="1" w:uiPriority="0" w:semiHidden="0" w:unhideWhenUsed="0"/>
    <w:lsdException w:name="toc 8" w:locked="1" w:uiPriority="0" w:semiHidden="0" w:unhideWhenUsed="0"/>
    <w:lsdException w:name="toc 9" w:locked="1" w:uiPriority="0" w:semiHidden="0" w:unhideWhenUsed="0"/>
    <w:lsdException w:name="caption" w:locked="1" w:uiPriority="0" w:semiHidden="0" w:unhideWhenUsed="0" w:qFormat="1"/>
    <w:lsdException w:name="Title" w:locked="1" w:uiPriority="0" w:semiHidden="0" w:unhideWhenUsed="0" w:qFormat="1"/>
    <w:lsdException w:name="Default Paragraph Font" w:locked="1" w:uiPriority="0" w:semiHidden="0" w:unhideWhenUsed="0"/>
    <w:lsdException w:name="Subtitle" w:locked="1" w:uiPriority="0" w:semiHidden="0" w:unhideWhenUsed="0" w:qFormat="1"/>
    <w:lsdException w:name="Strong" w:locked="1" w:uiPriority="0" w:semiHidden="0" w:unhideWhenUsed="0" w:qFormat="1"/>
    <w:lsdException w:name="Emphasis" w:locked="1" w:uiPriority="0" w:semiHidden="0" w:unhideWhenUsed="0" w:qFormat="1"/>
    <w:lsdException w:name="Table Grid" w:locked="1" w:uiPriority="0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0d5983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Times New Roman" w:cs="Calibri"/>
      <w:color w:val="000000"/>
      <w:kern w:val="0"/>
      <w:sz w:val="22"/>
      <w:szCs w:val="22"/>
      <w:lang w:val="uk-UA" w:eastAsia="uk-UA" w:bidi="ar-SA"/>
    </w:rPr>
  </w:style>
  <w:style w:type="paragraph" w:styleId="Heading1">
    <w:name w:val="Heading 1"/>
    <w:basedOn w:val="Normal"/>
    <w:next w:val="Normal"/>
    <w:link w:val="Heading1Char"/>
    <w:uiPriority w:val="99"/>
    <w:qFormat/>
    <w:rsid w:val="000d5983"/>
    <w:pPr>
      <w:keepNext w:val="true"/>
      <w:keepLines/>
      <w:spacing w:lineRule="auto" w:line="240" w:before="0" w:after="3"/>
      <w:ind w:hanging="10" w:left="6537"/>
      <w:outlineLvl w:val="0"/>
    </w:pPr>
    <w:rPr>
      <w:rFonts w:ascii="Arial" w:hAnsi="Arial" w:cs="Times New Roman"/>
      <w:b/>
      <w:sz w:val="14"/>
      <w:lang w:val="en-US" w:eastAsia="en-US"/>
    </w:rPr>
  </w:style>
  <w:style w:type="paragraph" w:styleId="Heading4">
    <w:name w:val="Heading 4"/>
    <w:basedOn w:val="Style14"/>
    <w:next w:val="BodyText"/>
    <w:qFormat/>
    <w:pPr>
      <w:numPr>
        <w:ilvl w:val="3"/>
        <w:numId w:val="1"/>
      </w:numPr>
      <w:spacing w:before="120" w:after="120"/>
      <w:outlineLvl w:val="3"/>
    </w:pPr>
    <w:rPr>
      <w:b/>
      <w:bCs/>
      <w:i/>
      <w:iCs/>
      <w:sz w:val="26"/>
      <w:szCs w:val="26"/>
    </w:rPr>
  </w:style>
  <w:style w:type="character" w:styleId="DefaultParagraphFont" w:default="1">
    <w:name w:val="Default Paragraph Font"/>
    <w:uiPriority w:val="99"/>
    <w:semiHidden/>
    <w:qFormat/>
    <w:rPr/>
  </w:style>
  <w:style w:type="character" w:styleId="Heading1Char" w:customStyle="1">
    <w:name w:val="Heading 1 Char"/>
    <w:basedOn w:val="DefaultParagraphFont"/>
    <w:uiPriority w:val="99"/>
    <w:qFormat/>
    <w:locked/>
    <w:rsid w:val="000d5983"/>
    <w:rPr>
      <w:rFonts w:ascii="Arial" w:hAnsi="Arial" w:cs="Times New Roman"/>
      <w:b/>
      <w:color w:val="000000"/>
      <w:sz w:val="22"/>
    </w:rPr>
  </w:style>
  <w:style w:type="character" w:styleId="BodyTextChar" w:customStyle="1">
    <w:name w:val="Body Text Char"/>
    <w:basedOn w:val="DefaultParagraphFont"/>
    <w:uiPriority w:val="99"/>
    <w:semiHidden/>
    <w:qFormat/>
    <w:locked/>
    <w:rsid w:val="001e4d6e"/>
    <w:rPr>
      <w:rFonts w:cs="Calibri"/>
      <w:color w:val="000000"/>
      <w:lang w:val="uk-UA" w:eastAsia="uk-UA"/>
    </w:rPr>
  </w:style>
  <w:style w:type="character" w:styleId="HeaderChar" w:customStyle="1">
    <w:name w:val="Header Char"/>
    <w:basedOn w:val="DefaultParagraphFont"/>
    <w:uiPriority w:val="99"/>
    <w:semiHidden/>
    <w:qFormat/>
    <w:locked/>
    <w:rsid w:val="001e4d6e"/>
    <w:rPr>
      <w:rFonts w:cs="Calibri"/>
      <w:color w:val="000000"/>
      <w:lang w:val="uk-UA" w:eastAsia="uk-UA"/>
    </w:rPr>
  </w:style>
  <w:style w:type="character" w:styleId="Hyperlink">
    <w:name w:val="Hyperlink"/>
    <w:basedOn w:val="DefaultParagraphFont"/>
    <w:rPr>
      <w:rFonts w:cs="Times New Roman"/>
      <w:color w:val="0000FF"/>
      <w:u w:val="single"/>
    </w:rPr>
  </w:style>
  <w:style w:type="character" w:styleId="Style12">
    <w:name w:val="Символ нумерації"/>
    <w:qFormat/>
    <w:rPr/>
  </w:style>
  <w:style w:type="character" w:styleId="Emphasis">
    <w:name w:val="Emphasis"/>
    <w:qFormat/>
    <w:rPr>
      <w:i/>
      <w:iCs/>
    </w:rPr>
  </w:style>
  <w:style w:type="character" w:styleId="-">
    <w:name w:val="Интернет-ссылка"/>
    <w:qFormat/>
    <w:rPr>
      <w:rFonts w:ascii="Times New Roman" w:hAnsi="Times New Roman" w:eastAsia="Times New Roman" w:cs="Times New Roman"/>
      <w:color w:val="0000FF"/>
      <w:sz w:val="24"/>
      <w:szCs w:val="24"/>
      <w:u w:val="single"/>
    </w:rPr>
  </w:style>
  <w:style w:type="character" w:styleId="HeaderChar1">
    <w:name w:val="Header Char1"/>
    <w:qFormat/>
    <w:rPr>
      <w:rFonts w:ascii="Times New Roman" w:hAnsi="Times New Roman" w:eastAsia="Times New Roman" w:cs="Calibri"/>
      <w:sz w:val="24"/>
      <w:szCs w:val="24"/>
    </w:rPr>
  </w:style>
  <w:style w:type="character" w:styleId="BodyTextChar1">
    <w:name w:val="Body Text Char1"/>
    <w:qFormat/>
    <w:rPr>
      <w:rFonts w:ascii="Times New Roman" w:hAnsi="Times New Roman" w:eastAsia="Times New Roman" w:cs="Calibri"/>
      <w:sz w:val="24"/>
      <w:szCs w:val="24"/>
    </w:rPr>
  </w:style>
  <w:style w:type="character" w:styleId="Spanrvts0">
    <w:name w:val="span_rvts0"/>
    <w:basedOn w:val="DefaultParagraphFont"/>
    <w:qFormat/>
    <w:rPr>
      <w:rFonts w:ascii="Times New Roman" w:hAnsi="Times New Roman" w:eastAsia="Times New Roman" w:cs="Times New Roman"/>
      <w:b w:val="false"/>
      <w:bCs w:val="false"/>
      <w:i w:val="false"/>
      <w:iCs w:val="false"/>
      <w:sz w:val="24"/>
      <w:szCs w:val="24"/>
    </w:rPr>
  </w:style>
  <w:style w:type="character" w:styleId="Arvts96">
    <w:name w:val="a_rvts96"/>
    <w:basedOn w:val="DefaultParagraphFont"/>
    <w:qFormat/>
    <w:rPr>
      <w:rFonts w:ascii="Times New Roman" w:hAnsi="Times New Roman" w:eastAsia="Times New Roman" w:cs="Times New Roman"/>
      <w:b w:val="false"/>
      <w:bCs w:val="false"/>
      <w:i w:val="false"/>
      <w:iCs w:val="false"/>
      <w:color w:val="000099"/>
      <w:sz w:val="24"/>
      <w:szCs w:val="24"/>
    </w:rPr>
  </w:style>
  <w:style w:type="character" w:styleId="Spanrvts9">
    <w:name w:val="span_rvts9"/>
    <w:basedOn w:val="DefaultParagraphFont"/>
    <w:qFormat/>
    <w:rPr>
      <w:rFonts w:ascii="Times New Roman" w:hAnsi="Times New Roman" w:eastAsia="Times New Roman" w:cs="Times New Roman"/>
      <w:b/>
      <w:bCs/>
      <w:i w:val="false"/>
      <w:iCs w:val="false"/>
      <w:sz w:val="24"/>
      <w:szCs w:val="24"/>
    </w:rPr>
  </w:style>
  <w:style w:type="character" w:styleId="Arvts99">
    <w:name w:val="a_rvts99"/>
    <w:basedOn w:val="DefaultParagraphFont"/>
    <w:qFormat/>
    <w:rPr>
      <w:rFonts w:ascii="Times New Roman" w:hAnsi="Times New Roman" w:eastAsia="Times New Roman" w:cs="Times New Roman"/>
      <w:b w:val="false"/>
      <w:bCs w:val="false"/>
      <w:i w:val="false"/>
      <w:iCs w:val="false"/>
      <w:color w:val="006600"/>
      <w:sz w:val="24"/>
      <w:szCs w:val="24"/>
    </w:rPr>
  </w:style>
  <w:style w:type="character" w:styleId="Style13">
    <w:name w:val="Основной шрифт абзаца"/>
    <w:qFormat/>
    <w:rPr/>
  </w:style>
  <w:style w:type="character" w:styleId="Arvts107">
    <w:name w:val="a_rvts107"/>
    <w:qFormat/>
    <w:rPr>
      <w:rFonts w:eastAsia="Times New Roman" w:cs="Times New Roman"/>
      <w:b/>
      <w:bCs/>
      <w:i w:val="false"/>
      <w:iCs w:val="false"/>
      <w:color w:val="006600"/>
      <w:vertAlign w:val="superscript"/>
    </w:rPr>
  </w:style>
  <w:style w:type="character" w:styleId="Arvts100">
    <w:name w:val="a_rvts100"/>
    <w:qFormat/>
    <w:rPr>
      <w:rFonts w:eastAsia="Times New Roman" w:cs="Times New Roman"/>
      <w:b w:val="false"/>
      <w:bCs w:val="false"/>
      <w:i/>
      <w:iCs/>
      <w:color w:val="000099"/>
    </w:rPr>
  </w:style>
  <w:style w:type="character" w:styleId="Spanrvts46">
    <w:name w:val="span_rvts46"/>
    <w:qFormat/>
    <w:rPr>
      <w:rFonts w:eastAsia="Times New Roman" w:cs="Times New Roman"/>
      <w:b w:val="false"/>
      <w:bCs w:val="false"/>
      <w:i/>
      <w:iCs/>
      <w:color w:val="000000"/>
    </w:rPr>
  </w:style>
  <w:style w:type="paragraph" w:styleId="Style14" w:customStyle="1">
    <w:name w:val="Заголовок"/>
    <w:basedOn w:val="Normal"/>
    <w:next w:val="BodyText"/>
    <w:uiPriority w:val="99"/>
    <w:qFormat/>
    <w:rsid w:val="00163fc2"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163fc2"/>
    <w:pPr>
      <w:spacing w:lineRule="auto" w:line="276" w:before="0" w:after="140"/>
    </w:pPr>
    <w:rPr/>
  </w:style>
  <w:style w:type="paragraph" w:styleId="List">
    <w:name w:val="List"/>
    <w:basedOn w:val="BodyText"/>
    <w:uiPriority w:val="99"/>
    <w:rsid w:val="00163fc2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15" w:customStyle="1">
    <w:name w:val="Покажчик"/>
    <w:basedOn w:val="Normal"/>
    <w:uiPriority w:val="99"/>
    <w:qFormat/>
    <w:rsid w:val="00163fc2"/>
    <w:pPr>
      <w:suppressLineNumbers/>
    </w:pPr>
    <w:rPr>
      <w:rFonts w:cs="Lucida Sans"/>
    </w:rPr>
  </w:style>
  <w:style w:type="paragraph" w:styleId="Caption1">
    <w:name w:val="caption1"/>
    <w:basedOn w:val="Normal"/>
    <w:uiPriority w:val="99"/>
    <w:qFormat/>
    <w:rsid w:val="00163fc2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1">
    <w:name w:val="index 1"/>
    <w:basedOn w:val="Normal"/>
    <w:next w:val="Normal"/>
    <w:autoRedefine/>
    <w:uiPriority w:val="99"/>
    <w:semiHidden/>
    <w:qFormat/>
    <w:rsid w:val="000d5983"/>
    <w:pPr>
      <w:ind w:hanging="220" w:left="220"/>
    </w:pPr>
    <w:rPr/>
  </w:style>
  <w:style w:type="paragraph" w:styleId="Indexheading">
    <w:name w:val="index heading"/>
    <w:basedOn w:val="Normal"/>
    <w:uiPriority w:val="99"/>
    <w:qFormat/>
    <w:rsid w:val="00163fc2"/>
    <w:pPr>
      <w:suppressLineNumbers/>
    </w:pPr>
    <w:rPr>
      <w:rFonts w:cs="Lucida Sans"/>
    </w:rPr>
  </w:style>
  <w:style w:type="paragraph" w:styleId="Style16" w:customStyle="1">
    <w:name w:val="Колонтитул"/>
    <w:basedOn w:val="Normal"/>
    <w:uiPriority w:val="99"/>
    <w:qFormat/>
    <w:rsid w:val="00163fc2"/>
    <w:pPr/>
    <w:rPr/>
  </w:style>
  <w:style w:type="paragraph" w:styleId="Style17" w:customStyle="1">
    <w:name w:val="Верхній і нижній колонтитули"/>
    <w:basedOn w:val="Normal"/>
    <w:uiPriority w:val="99"/>
    <w:qFormat/>
    <w:rsid w:val="00163fc2"/>
    <w:pPr/>
    <w:rPr/>
  </w:style>
  <w:style w:type="paragraph" w:styleId="Header">
    <w:name w:val="Header"/>
    <w:basedOn w:val="Style16"/>
    <w:link w:val="HeaderChar"/>
    <w:uiPriority w:val="99"/>
    <w:rsid w:val="00163fc2"/>
    <w:pPr/>
    <w:rPr/>
  </w:style>
  <w:style w:type="paragraph" w:styleId="Style18" w:customStyle="1">
    <w:name w:val="Содержимое таблицы"/>
    <w:basedOn w:val="Normal"/>
    <w:uiPriority w:val="99"/>
    <w:qFormat/>
    <w:rsid w:val="00163fc2"/>
    <w:pPr>
      <w:widowControl w:val="false"/>
      <w:suppressLineNumbers/>
    </w:pPr>
    <w:rPr/>
  </w:style>
  <w:style w:type="paragraph" w:styleId="Style19" w:customStyle="1">
    <w:name w:val="Заголовок таблицы"/>
    <w:basedOn w:val="Style18"/>
    <w:uiPriority w:val="99"/>
    <w:qFormat/>
    <w:rsid w:val="00163fc2"/>
    <w:pPr>
      <w:jc w:val="center"/>
    </w:pPr>
    <w:rPr>
      <w:b/>
      <w:bCs/>
    </w:rPr>
  </w:style>
  <w:style w:type="paragraph" w:styleId="Style20" w:customStyle="1">
    <w:name w:val="Вміст таблиці"/>
    <w:basedOn w:val="Normal"/>
    <w:uiPriority w:val="99"/>
    <w:qFormat/>
    <w:rsid w:val="00163fc2"/>
    <w:pPr>
      <w:widowControl w:val="false"/>
      <w:suppressLineNumbers/>
    </w:pPr>
    <w:rPr/>
  </w:style>
  <w:style w:type="paragraph" w:styleId="Style21">
    <w:name w:val="Заголовок таблиці"/>
    <w:basedOn w:val="Style20"/>
    <w:qFormat/>
    <w:pPr>
      <w:suppressLineNumbers/>
      <w:jc w:val="center"/>
    </w:pPr>
    <w:rPr>
      <w:b/>
      <w:bCs/>
    </w:rPr>
  </w:style>
  <w:style w:type="paragraph" w:styleId="NoSpacing">
    <w:name w:val="No Spacing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zh-CN" w:bidi="ar-SA"/>
    </w:rPr>
  </w:style>
  <w:style w:type="paragraph" w:styleId="Style22">
    <w:name w:val="Указатель"/>
    <w:basedOn w:val="Normal"/>
    <w:qFormat/>
    <w:pPr/>
    <w:rPr>
      <w:lang w:val="zxx" w:eastAsia="zxx" w:bidi="zxx"/>
    </w:rPr>
  </w:style>
  <w:style w:type="paragraph" w:styleId="Rvps2">
    <w:name w:val="rvps2"/>
    <w:basedOn w:val="Normal"/>
    <w:qFormat/>
    <w:pPr>
      <w:ind w:firstLine="450"/>
      <w:jc w:val="both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uiPriority w:val="99"/>
    <w:rsid w:val="000d5983"/>
    <w:rPr>
      <w:lang w:val="uk-UA" w:eastAsia="uk-U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1183</TotalTime>
  <Application>LibreOffice/7.6.1.2$Windows_X86_64 LibreOffice_project/f5defcebd022c5bc36bbb79be232cb6926d8f674</Application>
  <AppVersion>15.0000</AppVersion>
  <Pages>3</Pages>
  <Words>407</Words>
  <Characters>2826</Characters>
  <CharactersWithSpaces>3189</CharactersWithSpaces>
  <Paragraphs>53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Павло Анатолійович Мостовюк</dc:creator>
  <dc:description/>
  <dc:language>uk-UA</dc:language>
  <cp:lastModifiedBy/>
  <dcterms:modified xsi:type="dcterms:W3CDTF">2025-08-07T11:22:12Z</dcterms:modified>
  <cp:revision>137</cp:revision>
  <dc:subject/>
  <dc:title>ЗАТВЕРДЖЕНО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