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надання одноразової компенсації особам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>з інвалідністю та дітям з інвалідністю до 18 років, яким встановлено інвалідність внаслідок одержаних на території України ушкоджень здоров’я, спричинених вибухонебезпечними предметами, визначеними пунктом 1 частини першої статті 1 Закону України “Про протимінну діяльність в Україні”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</w:p>
          <w:p>
            <w:pPr>
              <w:pStyle w:val="Rvps2"/>
              <w:spacing w:before="0" w:after="150"/>
              <w:ind w:firstLine="45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bookmarkStart w:id="0" w:name="n138_Copy_1"/>
            <w:bookmarkEnd w:id="0"/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Якщо для отримання компенсації необхідно подати документи та/або відомості, що містяться в інформаційно-комунікаційних системах, або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і надання компенсації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lang w:val="uk-UA" w:eastAsia="uk-UA"/>
              </w:rPr>
              <w:t>уповноважені посадові особи виконавчого органу сільської, селищної, міської ради відповідної територіальної громади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left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highlight w:val="none"/>
                <w:shd w:fill="auto" w:val="clear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рад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 w:val="false"/>
                <w:i w:val="false"/>
                <w:i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/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У місячний строк з дня прийняття або відправлення заяви з необхідними документами </w:t>
            </w:r>
            <w:r>
              <w:rPr>
                <w:rStyle w:val="Spanrvts0"/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та/або відомостями</w:t>
            </w: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 xml:space="preserve"> опрацьовується інформація, зазначена в документах, поданих у паперовій або електронній формі, та приймається рішення про виплату або відмову у виплаті компенсації.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i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Style13">
    <w:name w:val="Основной шрифт абзаца"/>
    <w:qFormat/>
    <w:rPr/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1041</TotalTime>
  <Application>LibreOffice/7.6.1.2$Windows_X86_64 LibreOffice_project/f5defcebd022c5bc36bbb79be232cb6926d8f674</Application>
  <AppVersion>15.0000</AppVersion>
  <Pages>3</Pages>
  <Words>397</Words>
  <Characters>2773</Characters>
  <CharactersWithSpaces>3125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2025-08-07T11:21:40Z</dcterms:modified>
  <cp:revision>125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