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theme/theme1.xml" ContentType="application/vnd.openxmlformats-officedocument.theme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before="0" w:after="133"/>
        <w:ind w:hanging="0" w:left="5103"/>
        <w:rPr>
          <w:rFonts w:ascii="Times New Roman" w:hAnsi="Times New Roman"/>
          <w:sz w:val="24"/>
          <w:szCs w:val="24"/>
          <w:highlight w:val="none"/>
          <w:shd w:fill="auto" w:val="clear"/>
        </w:rPr>
      </w:pPr>
      <w:r>
        <w:rPr>
          <w:rFonts w:ascii="Times New Roman" w:hAnsi="Times New Roman"/>
          <w:sz w:val="24"/>
          <w:szCs w:val="24"/>
          <w:shd w:fill="auto" w:val="clear"/>
        </w:rPr>
      </w:r>
    </w:p>
    <w:p>
      <w:pPr>
        <w:pStyle w:val="Normal"/>
        <w:spacing w:before="0" w:after="133"/>
        <w:ind w:hanging="0" w:left="5103"/>
        <w:rPr>
          <w:rFonts w:ascii="Times New Roman" w:hAnsi="Times New Roman"/>
          <w:sz w:val="24"/>
          <w:szCs w:val="24"/>
          <w:highlight w:val="none"/>
          <w:shd w:fill="auto" w:val="clear"/>
        </w:rPr>
      </w:pPr>
      <w:r>
        <w:rPr>
          <w:rFonts w:ascii="Times New Roman" w:hAnsi="Times New Roman"/>
          <w:sz w:val="24"/>
          <w:szCs w:val="24"/>
          <w:shd w:fill="auto" w:val="clear"/>
        </w:rPr>
      </w:r>
    </w:p>
    <w:p>
      <w:pPr>
        <w:pStyle w:val="Normal"/>
        <w:spacing w:before="0" w:after="133"/>
        <w:ind w:hanging="0" w:left="5103"/>
        <w:rPr>
          <w:rFonts w:ascii="Times New Roman" w:hAnsi="Times New Roman"/>
          <w:sz w:val="24"/>
          <w:szCs w:val="24"/>
          <w:highlight w:val="none"/>
          <w:shd w:fill="auto" w:val="clear"/>
        </w:rPr>
      </w:pPr>
      <w:r>
        <w:rPr>
          <w:rFonts w:ascii="Times New Roman" w:hAnsi="Times New Roman"/>
          <w:sz w:val="24"/>
          <w:szCs w:val="24"/>
          <w:shd w:fill="auto" w:val="clear"/>
        </w:rPr>
      </w:r>
    </w:p>
    <w:p>
      <w:pPr>
        <w:pStyle w:val="Normal"/>
        <w:spacing w:before="0" w:after="133"/>
        <w:ind w:hanging="0" w:left="5103"/>
        <w:rPr>
          <w:rFonts w:ascii="Times New Roman" w:hAnsi="Times New Roman"/>
          <w:sz w:val="24"/>
          <w:szCs w:val="24"/>
          <w:highlight w:val="none"/>
          <w:shd w:fill="auto" w:val="clear"/>
        </w:rPr>
      </w:pPr>
      <w:r>
        <w:rPr>
          <w:rFonts w:cs="Times New Roman" w:ascii="Times New Roman" w:hAnsi="Times New Roman"/>
          <w:b/>
          <w:bCs/>
          <w:i w:val="false"/>
          <w:iCs w:val="false"/>
          <w:color w:val="000000"/>
          <w:sz w:val="24"/>
          <w:szCs w:val="24"/>
          <w:shd w:fill="auto" w:val="clear"/>
          <w:lang w:val="uk-UA"/>
        </w:rPr>
        <w:tab/>
        <w:tab/>
        <w:tab/>
      </w:r>
      <w:r>
        <w:rPr>
          <w:rFonts w:cs="Times New Roman" w:ascii="Times New Roman" w:hAnsi="Times New Roman"/>
          <w:i w:val="false"/>
          <w:iCs w:val="false"/>
          <w:color w:val="000000"/>
          <w:sz w:val="24"/>
          <w:szCs w:val="24"/>
          <w:shd w:fill="auto" w:val="clear"/>
        </w:rPr>
        <w:t>ЗАТВЕРДЖЕНО</w:t>
      </w:r>
    </w:p>
    <w:p>
      <w:pPr>
        <w:pStyle w:val="Normal"/>
        <w:spacing w:lineRule="auto" w:line="264" w:before="0" w:after="133"/>
        <w:ind w:hanging="10" w:left="5760" w:right="552"/>
        <w:rPr>
          <w:rFonts w:ascii="Times New Roman" w:hAnsi="Times New Roman"/>
          <w:sz w:val="24"/>
          <w:szCs w:val="24"/>
          <w:highlight w:val="none"/>
          <w:shd w:fill="auto" w:val="clear"/>
        </w:rPr>
      </w:pPr>
      <w:r>
        <w:rPr>
          <w:rFonts w:cs="Times New Roman" w:ascii="Times New Roman" w:hAnsi="Times New Roman"/>
          <w:i w:val="false"/>
          <w:iCs w:val="false"/>
          <w:color w:val="000000"/>
          <w:sz w:val="24"/>
          <w:szCs w:val="24"/>
          <w:shd w:fill="auto" w:val="clear"/>
        </w:rPr>
        <w:t>Наказ Головного управління Пенсійного фонду України в Луганській області</w:t>
      </w:r>
    </w:p>
    <w:p>
      <w:pPr>
        <w:pStyle w:val="Normal"/>
        <w:spacing w:lineRule="auto" w:line="264" w:before="0" w:after="616"/>
        <w:ind w:hanging="10" w:left="5760" w:right="552"/>
        <w:rPr>
          <w:rFonts w:ascii="Times New Roman" w:hAnsi="Times New Roman"/>
          <w:sz w:val="24"/>
          <w:szCs w:val="24"/>
          <w:highlight w:val="none"/>
          <w:shd w:fill="auto" w:val="clear"/>
        </w:rPr>
      </w:pPr>
      <w:r>
        <w:rPr>
          <w:rFonts w:cs="Times New Roman" w:ascii="Times New Roman" w:hAnsi="Times New Roman"/>
          <w:i w:val="false"/>
          <w:iCs w:val="false"/>
          <w:color w:val="000000"/>
          <w:sz w:val="24"/>
          <w:szCs w:val="24"/>
          <w:shd w:fill="auto" w:val="clear"/>
        </w:rPr>
        <w:t>___ __________ ___ року № __</w:t>
      </w:r>
    </w:p>
    <w:p>
      <w:pPr>
        <w:pStyle w:val="Normal"/>
        <w:jc w:val="center"/>
        <w:rPr>
          <w:rFonts w:ascii="Times New Roman" w:hAnsi="Times New Roman"/>
          <w:sz w:val="24"/>
          <w:szCs w:val="24"/>
          <w:highlight w:val="none"/>
          <w:shd w:fill="auto" w:val="clear"/>
        </w:rPr>
      </w:pPr>
      <w:r>
        <w:rPr>
          <w:rFonts w:cs="Times New Roman" w:ascii="Times New Roman" w:hAnsi="Times New Roman"/>
          <w:b/>
          <w:bCs/>
          <w:i w:val="false"/>
          <w:iCs w:val="false"/>
          <w:color w:val="000000"/>
          <w:sz w:val="24"/>
          <w:szCs w:val="24"/>
          <w:shd w:fill="auto" w:val="clear"/>
        </w:rPr>
        <w:t>ТЕХНОЛОГІЧНА КАРТКА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sz w:val="24"/>
          <w:szCs w:val="24"/>
          <w:highlight w:val="none"/>
          <w:shd w:fill="auto" w:val="clear"/>
        </w:rPr>
      </w:pPr>
      <w:r>
        <w:rPr>
          <w:rFonts w:cs="Times New Roman" w:ascii="Times New Roman" w:hAnsi="Times New Roman"/>
          <w:b/>
          <w:bCs/>
          <w:color w:val="000000"/>
          <w:sz w:val="24"/>
          <w:szCs w:val="24"/>
          <w:shd w:fill="auto" w:val="clear"/>
          <w:lang w:eastAsia="ru-RU"/>
        </w:rPr>
        <w:t xml:space="preserve">адміністративної послуги з виплати одноразової винагороди жінкам, 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sz w:val="24"/>
          <w:szCs w:val="24"/>
          <w:highlight w:val="none"/>
          <w:shd w:fill="auto" w:val="clear"/>
        </w:rPr>
      </w:pPr>
      <w:r>
        <w:rPr>
          <w:rFonts w:cs="Times New Roman" w:ascii="Times New Roman" w:hAnsi="Times New Roman"/>
          <w:b/>
          <w:bCs/>
          <w:color w:val="000000"/>
          <w:sz w:val="24"/>
          <w:szCs w:val="24"/>
          <w:shd w:fill="auto" w:val="clear"/>
          <w:lang w:eastAsia="ru-RU"/>
        </w:rPr>
        <w:t xml:space="preserve">яким присвоєно почесне звання України “Мати-героїня” </w:t>
      </w:r>
    </w:p>
    <w:p>
      <w:pPr>
        <w:pStyle w:val="Normal"/>
        <w:spacing w:lineRule="auto" w:line="240" w:before="0" w:after="0"/>
        <w:jc w:val="left"/>
        <w:rPr>
          <w:rFonts w:ascii="Times New Roman" w:hAnsi="Times New Roman" w:cs="Times New Roman"/>
          <w:b/>
          <w:bCs/>
          <w:sz w:val="24"/>
          <w:szCs w:val="24"/>
          <w:highlight w:val="none"/>
          <w:shd w:fill="auto" w:val="clear"/>
          <w:lang w:eastAsia="ru-RU"/>
        </w:rPr>
      </w:pPr>
      <w:r>
        <w:rPr>
          <w:rFonts w:cs="Times New Roman" w:ascii="Times New Roman" w:hAnsi="Times New Roman"/>
          <w:b/>
          <w:bCs/>
          <w:sz w:val="24"/>
          <w:szCs w:val="24"/>
          <w:shd w:fill="auto" w:val="clear"/>
          <w:lang w:eastAsia="ru-RU"/>
        </w:rPr>
      </w:r>
    </w:p>
    <w:tbl>
      <w:tblPr>
        <w:tblW w:w="9688" w:type="dxa"/>
        <w:jc w:val="left"/>
        <w:tblInd w:w="105" w:type="dxa"/>
        <w:tblLayout w:type="fixed"/>
        <w:tblCellMar>
          <w:top w:w="50" w:type="dxa"/>
          <w:left w:w="50" w:type="dxa"/>
          <w:bottom w:w="50" w:type="dxa"/>
          <w:right w:w="50" w:type="dxa"/>
        </w:tblCellMar>
        <w:tblLook w:val="00a0"/>
      </w:tblPr>
      <w:tblGrid>
        <w:gridCol w:w="621"/>
        <w:gridCol w:w="3282"/>
        <w:gridCol w:w="2046"/>
        <w:gridCol w:w="727"/>
        <w:gridCol w:w="3012"/>
      </w:tblGrid>
      <w:tr>
        <w:trPr>
          <w:trHeight w:val="1080" w:hRule="atLeast"/>
        </w:trPr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/>
              <w:jc w:val="center"/>
              <w:rPr>
                <w:rFonts w:ascii="Times New Roman" w:hAnsi="Times New Roman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b/>
                <w:i w:val="false"/>
                <w:iCs w:val="false"/>
                <w:color w:val="000000"/>
                <w:kern w:val="2"/>
                <w:sz w:val="24"/>
                <w:szCs w:val="24"/>
                <w:shd w:fill="auto" w:val="clear"/>
              </w:rPr>
              <w:t>№</w:t>
            </w:r>
          </w:p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b/>
                <w:i w:val="false"/>
                <w:iCs w:val="false"/>
                <w:color w:val="000000"/>
                <w:kern w:val="2"/>
                <w:sz w:val="24"/>
                <w:szCs w:val="24"/>
                <w:shd w:fill="auto" w:val="clear"/>
              </w:rPr>
              <w:t>п/п</w:t>
            </w:r>
          </w:p>
        </w:tc>
        <w:tc>
          <w:tcPr>
            <w:tcW w:w="3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b/>
                <w:i w:val="false"/>
                <w:iCs w:val="false"/>
                <w:color w:val="000000"/>
                <w:kern w:val="2"/>
                <w:sz w:val="24"/>
                <w:szCs w:val="24"/>
                <w:shd w:fill="auto" w:val="clear"/>
              </w:rPr>
              <w:t>Етапи надання послуги</w:t>
            </w:r>
          </w:p>
        </w:tc>
        <w:tc>
          <w:tcPr>
            <w:tcW w:w="2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b/>
                <w:i w:val="false"/>
                <w:iCs w:val="false"/>
                <w:color w:val="000000"/>
                <w:kern w:val="2"/>
                <w:sz w:val="24"/>
                <w:szCs w:val="24"/>
                <w:shd w:fill="auto" w:val="clear"/>
              </w:rPr>
              <w:t>Відповідальна посадова особа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/>
              <w:jc w:val="center"/>
              <w:rPr>
                <w:rFonts w:ascii="Times New Roman" w:hAnsi="Times New Roman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b/>
                <w:bCs/>
                <w:i w:val="false"/>
                <w:iCs w:val="false"/>
                <w:color w:val="000000"/>
                <w:kern w:val="2"/>
                <w:sz w:val="24"/>
                <w:szCs w:val="24"/>
                <w:shd w:fill="auto" w:val="clear"/>
              </w:rPr>
              <w:t>Дія</w:t>
            </w:r>
          </w:p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b/>
                <w:bCs/>
                <w:i w:val="false"/>
                <w:iCs w:val="false"/>
                <w:color w:val="000000"/>
                <w:kern w:val="2"/>
                <w:sz w:val="24"/>
                <w:szCs w:val="24"/>
                <w:shd w:fill="auto" w:val="clear"/>
              </w:rPr>
              <w:t>(В,У, П,З</w:t>
            </w:r>
            <w:r>
              <w:rPr>
                <w:rFonts w:cs="Times New Roman" w:ascii="Times New Roman" w:hAnsi="Times New Roman"/>
                <w:i w:val="false"/>
                <w:iCs w:val="false"/>
                <w:color w:val="000000"/>
                <w:kern w:val="2"/>
                <w:sz w:val="24"/>
                <w:szCs w:val="24"/>
                <w:shd w:fill="auto" w:val="clear"/>
              </w:rPr>
              <w:t>)</w:t>
            </w:r>
          </w:p>
        </w:tc>
        <w:tc>
          <w:tcPr>
            <w:tcW w:w="3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b/>
                <w:i w:val="false"/>
                <w:iCs w:val="false"/>
                <w:color w:val="000000"/>
                <w:kern w:val="2"/>
                <w:sz w:val="24"/>
                <w:szCs w:val="24"/>
                <w:shd w:fill="auto" w:val="clear"/>
              </w:rPr>
              <w:t>Термін</w:t>
            </w:r>
          </w:p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b/>
                <w:i w:val="false"/>
                <w:iCs w:val="false"/>
                <w:color w:val="000000"/>
                <w:kern w:val="2"/>
                <w:sz w:val="24"/>
                <w:szCs w:val="24"/>
                <w:shd w:fill="auto" w:val="clear"/>
              </w:rPr>
              <w:t>виконання</w:t>
            </w:r>
          </w:p>
        </w:tc>
      </w:tr>
      <w:tr>
        <w:trPr>
          <w:trHeight w:val="384" w:hRule="atLeast"/>
        </w:trPr>
        <w:tc>
          <w:tcPr>
            <w:tcW w:w="6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shd w:fill="auto" w:val="clear"/>
              </w:rPr>
              <w:t>1</w:t>
            </w:r>
          </w:p>
        </w:tc>
        <w:tc>
          <w:tcPr>
            <w:tcW w:w="328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shd w:fill="auto" w:val="clear"/>
              </w:rPr>
              <w:t>2</w:t>
            </w:r>
          </w:p>
        </w:tc>
        <w:tc>
          <w:tcPr>
            <w:tcW w:w="204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shd w:fill="auto" w:val="clear"/>
              </w:rPr>
              <w:t>3</w:t>
            </w:r>
          </w:p>
        </w:tc>
        <w:tc>
          <w:tcPr>
            <w:tcW w:w="7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shd w:fill="auto" w:val="clear"/>
              </w:rPr>
              <w:t>4</w:t>
            </w:r>
          </w:p>
        </w:tc>
        <w:tc>
          <w:tcPr>
            <w:tcW w:w="301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shd w:fill="auto" w:val="clear"/>
              </w:rPr>
              <w:t>5</w:t>
            </w:r>
          </w:p>
        </w:tc>
      </w:tr>
      <w:tr>
        <w:trPr>
          <w:trHeight w:val="2211" w:hRule="atLeast"/>
        </w:trPr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  <w:t>1</w:t>
            </w:r>
          </w:p>
        </w:tc>
        <w:tc>
          <w:tcPr>
            <w:tcW w:w="3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0"/>
              <w:ind w:hanging="0" w:left="0" w:right="0"/>
              <w:jc w:val="left"/>
              <w:rPr>
                <w:rFonts w:ascii="Times New Roman" w:hAnsi="Times New Roman"/>
                <w:i w:val="false"/>
                <w:i w:val="false"/>
                <w:iCs w:val="false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  <w:lang w:val="uk-UA" w:eastAsia="uk-UA"/>
              </w:rPr>
              <w:t>П</w:t>
            </w:r>
            <w:r>
              <w:rPr>
                <w:rFonts w:cs="Times New Roman" w:ascii="Times New Roman" w:hAnsi="Times New Roman"/>
                <w:b w:val="false"/>
                <w:bCs w:val="false"/>
                <w:color w:val="000000"/>
                <w:sz w:val="24"/>
                <w:szCs w:val="24"/>
                <w:shd w:fill="auto" w:val="clear"/>
                <w:lang w:val="uk-UA" w:eastAsia="uk-UA"/>
              </w:rPr>
              <w:t>рийом заяви з необхідними документами та/або відомостями, реєстрація прийнятих документів та формування електронної особової справи</w:t>
            </w:r>
          </w:p>
        </w:tc>
        <w:tc>
          <w:tcPr>
            <w:tcW w:w="2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eastAsia="Liberation Serif" w:cs="Times New Roman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spacing w:val="0"/>
                <w:kern w:val="2"/>
                <w:sz w:val="24"/>
                <w:szCs w:val="24"/>
                <w:shd w:fill="auto" w:val="clear"/>
                <w:lang w:val="uk-UA" w:eastAsia="hi-IN"/>
              </w:rPr>
              <w:t>Уповноважені посадові особи відділів</w:t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eastAsia="Liberation Serif" w:cs="Times New Roman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spacing w:val="0"/>
                <w:kern w:val="2"/>
                <w:sz w:val="24"/>
                <w:szCs w:val="24"/>
                <w:shd w:fill="auto" w:val="clear"/>
                <w:lang w:val="uk-UA" w:eastAsia="hi-IN"/>
              </w:rPr>
              <w:t>обслуговування громадян</w:t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eastAsia="Liberation Serif" w:cs="Times New Roman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spacing w:val="0"/>
                <w:kern w:val="2"/>
                <w:sz w:val="24"/>
                <w:szCs w:val="24"/>
                <w:shd w:fill="auto" w:val="clear"/>
                <w:lang w:val="uk-UA" w:eastAsia="hi-IN"/>
              </w:rPr>
              <w:t xml:space="preserve">№ </w:t>
            </w:r>
            <w:r>
              <w:rPr>
                <w:rFonts w:eastAsia="Liberation Serif" w:cs="Times New Roman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spacing w:val="0"/>
                <w:kern w:val="2"/>
                <w:sz w:val="24"/>
                <w:szCs w:val="24"/>
                <w:shd w:fill="auto" w:val="clear"/>
                <w:lang w:val="uk-UA" w:eastAsia="hi-IN"/>
              </w:rPr>
              <w:t>1-12 (сервісні центри)</w:t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sz w:val="24"/>
                <w:szCs w:val="24"/>
                <w:highlight w:val="none"/>
                <w:shd w:fill="auto" w:val="clear"/>
              </w:rPr>
            </w:pPr>
            <w:r>
              <w:rPr/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eastAsia="Liberation Serif" w:cs="Times New Roman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spacing w:val="0"/>
                <w:kern w:val="2"/>
                <w:sz w:val="24"/>
                <w:szCs w:val="24"/>
                <w:shd w:fill="auto" w:val="clear"/>
                <w:lang w:val="uk-UA" w:eastAsia="hi-IN"/>
              </w:rPr>
              <w:t>у</w:t>
            </w:r>
            <w:r>
              <w:rPr>
                <w:rFonts w:eastAsia="Liberation Serif" w:cs="Times New Roman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spacing w:val="0"/>
                <w:kern w:val="2"/>
                <w:sz w:val="24"/>
                <w:szCs w:val="24"/>
                <w:shd w:fill="auto" w:val="clear"/>
                <w:lang w:val="uk-UA" w:eastAsia="hi-IN"/>
              </w:rPr>
              <w:t>повноважені посадові особи центрів</w:t>
            </w:r>
          </w:p>
          <w:p>
            <w:pPr>
              <w:pStyle w:val="Rvps2"/>
              <w:spacing w:before="0" w:after="150"/>
              <w:ind w:hanging="0" w:left="0" w:right="0"/>
              <w:jc w:val="left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eastAsia="Liberation Serif" w:cs="Times New Roman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spacing w:val="0"/>
                <w:kern w:val="2"/>
                <w:sz w:val="24"/>
                <w:szCs w:val="24"/>
                <w:shd w:fill="auto" w:val="clear"/>
                <w:lang w:val="uk-UA" w:eastAsia="hi-IN"/>
              </w:rPr>
              <w:t>надання адміністративних послуг</w:t>
            </w:r>
          </w:p>
          <w:p>
            <w:pPr>
              <w:pStyle w:val="Rvps2"/>
              <w:spacing w:before="0" w:after="150"/>
              <w:ind w:hanging="0" w:left="0" w:right="0"/>
              <w:jc w:val="left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eastAsia="Liberation Serif" w:cs="Times New Roman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spacing w:val="0"/>
                <w:kern w:val="2"/>
                <w:sz w:val="24"/>
                <w:szCs w:val="24"/>
                <w:shd w:fill="auto" w:val="clear"/>
                <w:lang w:val="uk-UA" w:eastAsia="uk-UA"/>
              </w:rPr>
              <w:t>уповноважені посадові особи виконавчого органу сільської, селищної, міської ради відповідної територіальної громади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  <w:t>В</w:t>
            </w:r>
          </w:p>
        </w:tc>
        <w:tc>
          <w:tcPr>
            <w:tcW w:w="3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  <w:t>В день прийому документів</w:t>
            </w:r>
          </w:p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4"/>
                <w:szCs w:val="24"/>
                <w:shd w:fill="auto" w:val="clear"/>
              </w:rPr>
            </w:r>
          </w:p>
        </w:tc>
      </w:tr>
      <w:tr>
        <w:trPr>
          <w:trHeight w:val="2211" w:hRule="atLeast"/>
        </w:trPr>
        <w:tc>
          <w:tcPr>
            <w:tcW w:w="6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28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20"/>
              <w:spacing w:lineRule="auto" w:line="228" w:before="0" w:after="160"/>
              <w:jc w:val="left"/>
              <w:rPr>
                <w:rStyle w:val="Spanrvts0"/>
                <w:rFonts w:ascii="Times New Roman" w:hAnsi="Times New Roman" w:eastAsia="Liberation Serif" w:cs="Liberation Serif"/>
                <w:color w:val="000000"/>
                <w:spacing w:val="-2"/>
                <w:sz w:val="24"/>
                <w:szCs w:val="24"/>
                <w:lang w:val="uk-UA" w:eastAsia="hi-IN"/>
              </w:rPr>
            </w:pPr>
            <w:r>
              <w:rPr>
                <w:rStyle w:val="Style13"/>
                <w:rFonts w:eastAsia="Liberation Serif" w:cs="Liberation Serif" w:ascii="Times New Roman" w:hAnsi="Times New Roman"/>
                <w:color w:val="000000"/>
                <w:sz w:val="24"/>
                <w:szCs w:val="24"/>
                <w:lang w:eastAsia="hi-IN"/>
              </w:rPr>
              <w:t xml:space="preserve">Передача </w:t>
            </w:r>
            <w:r>
              <w:rPr>
                <w:rStyle w:val="Spanrvts0"/>
                <w:rFonts w:eastAsia="Liberation Serif" w:cs="Liberation Serif" w:ascii="Times New Roman" w:hAnsi="Times New Roman"/>
                <w:color w:val="000000"/>
                <w:sz w:val="24"/>
                <w:szCs w:val="24"/>
                <w:lang w:eastAsia="hi-IN"/>
              </w:rPr>
              <w:t xml:space="preserve">у формі електронної справи сканованих копій заяви, підписаних заявником, і долучених наявних сканованих копій документів з накладанням </w:t>
            </w:r>
            <w:r>
              <w:rPr>
                <w:rStyle w:val="Spanrvts0"/>
                <w:rFonts w:eastAsia="Liberation Serif" w:cs="Liberation Serif" w:ascii="Times New Roman" w:hAnsi="Times New Roman"/>
                <w:color w:val="000000"/>
                <w:sz w:val="24"/>
                <w:szCs w:val="24"/>
                <w:lang w:val="uk-UA" w:eastAsia="hi-IN"/>
              </w:rPr>
              <w:t>на електронну справу електронного підпису посадової особи</w:t>
            </w:r>
          </w:p>
        </w:tc>
        <w:tc>
          <w:tcPr>
            <w:tcW w:w="204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/>
            </w:pPr>
            <w:r>
              <w:rPr>
                <w:rFonts w:eastAsia="Liberation Serif" w:cs="Times New Roman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spacing w:val="0"/>
                <w:kern w:val="2"/>
                <w:sz w:val="24"/>
                <w:szCs w:val="24"/>
                <w:shd w:fill="auto" w:val="clear"/>
                <w:lang w:val="uk-UA" w:eastAsia="hi-IN"/>
              </w:rPr>
              <w:t>Уповноважені посадові особи центрів</w:t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/>
            </w:pPr>
            <w:r>
              <w:rPr>
                <w:rFonts w:eastAsia="Liberation Serif" w:cs="Times New Roman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spacing w:val="0"/>
                <w:kern w:val="2"/>
                <w:sz w:val="24"/>
                <w:szCs w:val="24"/>
                <w:shd w:fill="auto" w:val="clear"/>
                <w:lang w:val="uk-UA" w:eastAsia="hi-IN"/>
              </w:rPr>
              <w:t>надання адміністративних послуг</w:t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 w:eastAsia="Liberation Serif" w:cs="Times New Roman"/>
                <w:b w:val="false"/>
                <w:bCs w:val="false"/>
                <w:i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spacing w:val="0"/>
                <w:kern w:val="2"/>
                <w:sz w:val="24"/>
                <w:szCs w:val="24"/>
                <w:highlight w:val="none"/>
                <w:shd w:fill="auto" w:val="clear"/>
                <w:lang w:val="uk-UA" w:eastAsia="hi-IN"/>
              </w:rPr>
            </w:pPr>
            <w:r>
              <w:rPr>
                <w:rFonts w:eastAsia="Liberation Serif" w:cs="Times New Roman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spacing w:val="0"/>
                <w:kern w:val="2"/>
                <w:sz w:val="24"/>
                <w:szCs w:val="24"/>
                <w:shd w:fill="auto" w:val="clear"/>
                <w:lang w:val="uk-UA" w:eastAsia="hi-IN"/>
              </w:rPr>
            </w:r>
          </w:p>
          <w:p>
            <w:pPr>
              <w:pStyle w:val="Rvps2"/>
              <w:spacing w:before="0" w:after="150"/>
              <w:ind w:hanging="0" w:left="0" w:right="0"/>
              <w:jc w:val="left"/>
              <w:rPr/>
            </w:pPr>
            <w:r>
              <w:rPr>
                <w:rFonts w:eastAsia="Liberation Serif" w:cs="Times New Roman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spacing w:val="0"/>
                <w:kern w:val="2"/>
                <w:sz w:val="24"/>
                <w:szCs w:val="24"/>
                <w:shd w:fill="auto" w:val="clear"/>
                <w:lang w:val="uk-UA" w:eastAsia="uk-UA"/>
              </w:rPr>
              <w:t>уповноважені посадові особи виконавчого органу сільської, селищної, міської, районної у місті рад</w:t>
            </w:r>
          </w:p>
        </w:tc>
        <w:tc>
          <w:tcPr>
            <w:tcW w:w="7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/>
            </w:pPr>
            <w:r>
              <w:rPr>
                <w:rFonts w:ascii="Times New Roman" w:hAnsi="Times New Roman"/>
                <w:sz w:val="24"/>
                <w:szCs w:val="24"/>
              </w:rPr>
              <w:t>В</w:t>
            </w:r>
          </w:p>
        </w:tc>
        <w:tc>
          <w:tcPr>
            <w:tcW w:w="301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Rvps2"/>
              <w:spacing w:before="0" w:after="150"/>
              <w:ind w:hanging="0" w:left="0" w:right="0"/>
              <w:jc w:val="both"/>
              <w:rPr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  <w:lang w:val="uk-UA" w:eastAsia="uk-UA"/>
              </w:rPr>
              <w:t>Не пізніше наступного робочого дня після прийому документів</w:t>
            </w:r>
          </w:p>
        </w:tc>
      </w:tr>
      <w:tr>
        <w:trPr>
          <w:trHeight w:val="2211" w:hRule="atLeast"/>
        </w:trPr>
        <w:tc>
          <w:tcPr>
            <w:tcW w:w="6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28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Rvps2"/>
              <w:spacing w:before="0" w:after="150"/>
              <w:ind w:hanging="0" w:left="0" w:right="0"/>
              <w:jc w:val="left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i w:val="false"/>
                <w:iCs w:val="false"/>
                <w:color w:val="000000"/>
                <w:sz w:val="24"/>
                <w:szCs w:val="24"/>
                <w:shd w:fill="auto" w:val="clear"/>
                <w:lang w:val="uk-UA" w:eastAsia="uk-UA"/>
              </w:rPr>
              <w:t>Направлення за</w:t>
            </w:r>
            <w:r>
              <w:rPr>
                <w:rFonts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  <w:lang w:val="uk-UA" w:eastAsia="uk-UA"/>
              </w:rPr>
              <w:t xml:space="preserve">яви з необхідними документами для виплати винагороди у паперовому вигляді </w:t>
            </w:r>
            <w:r>
              <w:rPr>
                <w:rFonts w:ascii="Times New Roman" w:hAnsi="Times New Roman"/>
                <w:i w:val="false"/>
                <w:iCs w:val="false"/>
                <w:color w:val="000000"/>
                <w:sz w:val="24"/>
                <w:szCs w:val="24"/>
                <w:shd w:fill="auto" w:val="clear"/>
                <w:lang w:val="uk-UA" w:eastAsia="uk-UA"/>
              </w:rPr>
              <w:t>до відповідного органу Пенсійного фонду України</w:t>
            </w:r>
          </w:p>
        </w:tc>
        <w:tc>
          <w:tcPr>
            <w:tcW w:w="204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/>
            </w:pPr>
            <w:r>
              <w:rPr>
                <w:rFonts w:eastAsia="Liberation Serif" w:cs="Times New Roman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spacing w:val="0"/>
                <w:kern w:val="2"/>
                <w:sz w:val="24"/>
                <w:szCs w:val="24"/>
                <w:shd w:fill="auto" w:val="clear"/>
                <w:lang w:val="uk-UA" w:eastAsia="hi-IN"/>
              </w:rPr>
              <w:t>Уповноважені посадові особи центрів</w:t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/>
            </w:pPr>
            <w:r>
              <w:rPr>
                <w:rFonts w:eastAsia="Liberation Serif" w:cs="Times New Roman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spacing w:val="0"/>
                <w:kern w:val="2"/>
                <w:sz w:val="24"/>
                <w:szCs w:val="24"/>
                <w:shd w:fill="auto" w:val="clear"/>
                <w:lang w:val="uk-UA" w:eastAsia="hi-IN"/>
              </w:rPr>
              <w:t>надання адміністративних послуг</w:t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 w:eastAsia="Liberation Serif" w:cs="Times New Roman"/>
                <w:b w:val="false"/>
                <w:bCs w:val="false"/>
                <w:i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spacing w:val="0"/>
                <w:kern w:val="2"/>
                <w:sz w:val="24"/>
                <w:szCs w:val="24"/>
                <w:highlight w:val="none"/>
                <w:shd w:fill="auto" w:val="clear"/>
                <w:lang w:val="uk-UA" w:eastAsia="hi-IN"/>
              </w:rPr>
            </w:pPr>
            <w:r>
              <w:rPr>
                <w:rFonts w:eastAsia="Liberation Serif" w:cs="Times New Roman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spacing w:val="0"/>
                <w:kern w:val="2"/>
                <w:sz w:val="24"/>
                <w:szCs w:val="24"/>
                <w:shd w:fill="auto" w:val="clear"/>
                <w:lang w:val="uk-UA" w:eastAsia="hi-IN"/>
              </w:rPr>
            </w:r>
          </w:p>
          <w:p>
            <w:pPr>
              <w:pStyle w:val="Rvps2"/>
              <w:spacing w:before="0" w:after="150"/>
              <w:ind w:hanging="0" w:left="0" w:right="0"/>
              <w:jc w:val="left"/>
              <w:rPr/>
            </w:pPr>
            <w:r>
              <w:rPr>
                <w:rFonts w:eastAsia="Liberation Serif" w:cs="Times New Roman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spacing w:val="0"/>
                <w:kern w:val="2"/>
                <w:sz w:val="24"/>
                <w:szCs w:val="24"/>
                <w:shd w:fill="auto" w:val="clear"/>
                <w:lang w:val="uk-UA" w:eastAsia="uk-UA"/>
              </w:rPr>
              <w:t>уповноважені посадові особи виконавчого органу сільської, селищної, міської, районної у місті рад</w:t>
            </w:r>
          </w:p>
        </w:tc>
        <w:tc>
          <w:tcPr>
            <w:tcW w:w="7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  <w:t>В</w:t>
            </w:r>
          </w:p>
        </w:tc>
        <w:tc>
          <w:tcPr>
            <w:tcW w:w="301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Rvps2"/>
              <w:spacing w:before="0" w:after="150"/>
              <w:ind w:hanging="0" w:left="0" w:right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  <w:lang w:val="uk-UA" w:eastAsia="uk-UA"/>
              </w:rPr>
              <w:t>Не рідше ніж раз на два тижні</w:t>
            </w:r>
          </w:p>
        </w:tc>
      </w:tr>
      <w:tr>
        <w:trPr>
          <w:trHeight w:val="2211" w:hRule="atLeast"/>
        </w:trPr>
        <w:tc>
          <w:tcPr>
            <w:tcW w:w="6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4</w:t>
            </w:r>
          </w:p>
        </w:tc>
        <w:tc>
          <w:tcPr>
            <w:tcW w:w="328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20"/>
              <w:spacing w:before="0" w:after="160"/>
              <w:jc w:val="left"/>
              <w:rPr/>
            </w:pPr>
            <w:r>
              <w:rPr>
                <w:rFonts w:ascii="Times New Roman" w:hAnsi="Times New Roman"/>
                <w:sz w:val="24"/>
                <w:szCs w:val="24"/>
                <w:lang w:val="uk-UA" w:eastAsia="uk-UA"/>
              </w:rPr>
              <w:t>Опрацювання звернення та оформлення (погодження) результату надання адміністративної послуги</w:t>
            </w:r>
          </w:p>
        </w:tc>
        <w:tc>
          <w:tcPr>
            <w:tcW w:w="204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/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  <w:t>Уповноважені посадові особи</w:t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/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  <w:t>Управління пенсійного</w:t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/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  <w:t>забезпечення, надання</w:t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/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  <w:t>страхових виплат, соціальних послуг, житлових субсидій та</w:t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/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spacing w:val="0"/>
                <w:kern w:val="0"/>
                <w:sz w:val="24"/>
                <w:szCs w:val="24"/>
                <w:shd w:fill="auto" w:val="clear"/>
                <w:lang w:val="uk-UA" w:eastAsia="en-US" w:bidi="ar-SA"/>
              </w:rPr>
              <w:t>пільг</w:t>
            </w:r>
          </w:p>
        </w:tc>
        <w:tc>
          <w:tcPr>
            <w:tcW w:w="7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/>
            </w:pPr>
            <w:r>
              <w:rPr>
                <w:rFonts w:ascii="Times New Roman" w:hAnsi="Times New Roman"/>
                <w:sz w:val="24"/>
                <w:szCs w:val="24"/>
              </w:rPr>
              <w:t>В</w:t>
            </w:r>
          </w:p>
        </w:tc>
        <w:tc>
          <w:tcPr>
            <w:tcW w:w="301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Rvps2"/>
              <w:spacing w:before="0" w:after="150"/>
              <w:ind w:hanging="0" w:left="0" w:right="0"/>
              <w:rPr/>
            </w:pPr>
            <w:r>
              <w:rPr>
                <w:rStyle w:val="Spanrvts0"/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  <w:lang w:val="uk-UA" w:eastAsia="uk-UA"/>
              </w:rPr>
              <w:t>Протягом десяти робочих днів з дати надходження документів або відомостей, приймається рішення про призначення грошової компенсації або про відмову в її призначенні.</w:t>
            </w:r>
          </w:p>
        </w:tc>
      </w:tr>
      <w:tr>
        <w:trPr/>
        <w:tc>
          <w:tcPr>
            <w:tcW w:w="6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5</w:t>
            </w:r>
          </w:p>
        </w:tc>
        <w:tc>
          <w:tcPr>
            <w:tcW w:w="328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  <w:t>Інформування про прийняте рішення</w:t>
            </w:r>
          </w:p>
        </w:tc>
        <w:tc>
          <w:tcPr>
            <w:tcW w:w="204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rFonts w:ascii="Times New Roman" w:hAnsi="Times New Roman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  <w:t>Уповноважені посадові особи</w:t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rFonts w:ascii="Times New Roman" w:hAnsi="Times New Roman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  <w:t>Управління обслуговування громадян</w:t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rFonts w:ascii="Times New Roman" w:hAnsi="Times New Roman" w:eastAsia="Calibri" w:cs="Times New Roman"/>
                <w:b w:val="false"/>
                <w:bCs w:val="false"/>
                <w:i w:val="false"/>
                <w:i w:val="false"/>
                <w:iCs w:val="false"/>
                <w:color w:val="auto"/>
                <w:kern w:val="0"/>
                <w:sz w:val="24"/>
                <w:szCs w:val="24"/>
                <w:highlight w:val="none"/>
                <w:shd w:fill="auto" w:val="clear"/>
                <w:lang w:val="uk-UA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rFonts w:ascii="Times New Roman" w:hAnsi="Times New Roman" w:eastAsia="Calibri" w:cs="Times New Roman"/>
                <w:b w:val="false"/>
                <w:bCs w:val="false"/>
                <w:i w:val="false"/>
                <w:i w:val="false"/>
                <w:iCs w:val="false"/>
                <w:color w:val="auto"/>
                <w:kern w:val="0"/>
                <w:sz w:val="24"/>
                <w:szCs w:val="24"/>
                <w:highlight w:val="none"/>
                <w:shd w:fill="auto" w:val="clear"/>
                <w:lang w:val="uk-UA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rFonts w:ascii="Times New Roman" w:hAnsi="Times New Roman" w:eastAsia="Calibri" w:cs="Times New Roman"/>
                <w:b w:val="false"/>
                <w:bCs w:val="false"/>
                <w:i w:val="false"/>
                <w:i w:val="false"/>
                <w:iCs w:val="false"/>
                <w:color w:val="auto"/>
                <w:kern w:val="0"/>
                <w:sz w:val="24"/>
                <w:szCs w:val="24"/>
                <w:highlight w:val="none"/>
                <w:shd w:fill="auto" w:val="clear"/>
                <w:lang w:val="uk-UA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rFonts w:ascii="Times New Roman" w:hAnsi="Times New Roman" w:eastAsia="Calibri" w:cs="Times New Roman"/>
                <w:b w:val="false"/>
                <w:bCs w:val="false"/>
                <w:i w:val="false"/>
                <w:i w:val="false"/>
                <w:iCs w:val="false"/>
                <w:color w:val="auto"/>
                <w:kern w:val="0"/>
                <w:sz w:val="24"/>
                <w:szCs w:val="24"/>
                <w:highlight w:val="none"/>
                <w:shd w:fill="auto" w:val="clear"/>
                <w:lang w:val="uk-UA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rFonts w:ascii="Times New Roman" w:hAnsi="Times New Roman" w:eastAsia="Calibri" w:cs="Times New Roman"/>
                <w:b w:val="false"/>
                <w:bCs w:val="false"/>
                <w:i w:val="false"/>
                <w:i w:val="false"/>
                <w:iCs w:val="false"/>
                <w:color w:val="auto"/>
                <w:kern w:val="0"/>
                <w:sz w:val="24"/>
                <w:szCs w:val="24"/>
                <w:highlight w:val="none"/>
                <w:shd w:fill="auto" w:val="clear"/>
                <w:lang w:val="uk-UA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rFonts w:ascii="Times New Roman" w:hAnsi="Times New Roman" w:eastAsia="Calibri" w:cs="Times New Roman"/>
                <w:b w:val="false"/>
                <w:bCs w:val="false"/>
                <w:i w:val="false"/>
                <w:i w:val="false"/>
                <w:iCs w:val="false"/>
                <w:color w:val="auto"/>
                <w:kern w:val="0"/>
                <w:sz w:val="24"/>
                <w:szCs w:val="24"/>
                <w:highlight w:val="none"/>
                <w:shd w:fill="auto" w:val="clear"/>
                <w:lang w:val="uk-UA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</w:tc>
        <w:tc>
          <w:tcPr>
            <w:tcW w:w="7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  <w:t>В</w:t>
            </w:r>
          </w:p>
        </w:tc>
        <w:tc>
          <w:tcPr>
            <w:tcW w:w="301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Rvps2"/>
              <w:spacing w:before="0" w:after="150"/>
              <w:ind w:hanging="0" w:left="0" w:right="0"/>
              <w:jc w:val="left"/>
              <w:rPr>
                <w:rFonts w:ascii="Times New Roman" w:hAnsi="Times New Roman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z w:val="24"/>
                <w:szCs w:val="24"/>
                <w:shd w:fill="auto" w:val="clear"/>
                <w:lang w:val="uk-UA" w:eastAsia="uk-UA"/>
              </w:rPr>
              <w:t>Невідкладно, а за наявності обґрунтованих причин – не більш як через три робочі дні з дня прийняття відповідного рішення орган Пенсійного фонду України повідомляє про прийняте рішення, шляхом надсилання повідомлення у паперовій або електронній формі (за наявності адреси електронної пошти).</w:t>
            </w:r>
          </w:p>
          <w:p>
            <w:pPr>
              <w:pStyle w:val="Rvps2"/>
              <w:spacing w:before="0" w:after="150"/>
              <w:ind w:hanging="0" w:left="0" w:right="0"/>
              <w:jc w:val="left"/>
              <w:rPr>
                <w:rFonts w:ascii="Times New Roman" w:hAnsi="Times New Roman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z w:val="24"/>
                <w:szCs w:val="24"/>
                <w:shd w:fill="auto" w:val="clear"/>
                <w:lang w:val="uk-UA" w:eastAsia="uk-UA"/>
              </w:rPr>
              <w:t>Якщо заява з необхідними документами та/або відомостями була подана через центр надання адміністративних послуг, орган Пенсійного фонду України інформує центр надання адміністративних послуг про прийняте рішення протягом трьох робочих днів з дня прийняття рішення</w:t>
            </w:r>
          </w:p>
        </w:tc>
      </w:tr>
    </w:tbl>
    <w:p>
      <w:pPr>
        <w:pStyle w:val="Normal"/>
        <w:widowControl w:val="false"/>
        <w:tabs>
          <w:tab w:val="clear" w:pos="708"/>
        </w:tabs>
        <w:spacing w:lineRule="auto" w:line="240" w:before="30" w:after="15"/>
        <w:ind w:hanging="0" w:left="0" w:right="0"/>
        <w:jc w:val="left"/>
        <w:rPr>
          <w:rFonts w:ascii="Times New Roman" w:hAnsi="Times New Roman"/>
          <w:b/>
          <w:i w:val="false"/>
          <w:i w:val="false"/>
          <w:iCs w:val="false"/>
          <w:color w:val="auto"/>
          <w:sz w:val="24"/>
          <w:szCs w:val="24"/>
          <w:highlight w:val="none"/>
          <w:shd w:fill="auto" w:val="clear"/>
        </w:rPr>
      </w:pPr>
      <w:r>
        <w:rPr>
          <w:rFonts w:ascii="Times New Roman" w:hAnsi="Times New Roman"/>
          <w:b/>
          <w:i w:val="false"/>
          <w:iCs w:val="false"/>
          <w:color w:val="000000"/>
          <w:sz w:val="24"/>
          <w:szCs w:val="24"/>
          <w:shd w:fill="auto" w:val="clear"/>
        </w:rPr>
      </w:r>
    </w:p>
    <w:p>
      <w:pPr>
        <w:pStyle w:val="Normal"/>
        <w:widowControl w:val="false"/>
        <w:tabs>
          <w:tab w:val="clear" w:pos="708"/>
        </w:tabs>
        <w:spacing w:lineRule="auto" w:line="240" w:before="30" w:after="15"/>
        <w:ind w:hanging="0" w:left="0" w:righ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widowControl w:val="false"/>
        <w:tabs>
          <w:tab w:val="clear" w:pos="708"/>
        </w:tabs>
        <w:spacing w:lineRule="auto" w:line="240" w:before="30" w:after="15"/>
        <w:ind w:hanging="0" w:left="0" w:right="0"/>
        <w:jc w:val="center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i/>
          <w:iCs/>
          <w:color w:val="auto"/>
          <w:sz w:val="24"/>
          <w:szCs w:val="24"/>
        </w:rPr>
        <w:tab/>
        <w:t>Умовні позначки: В — виконує, У — бере участь, П — погоджує, З — затверджує.</w:t>
      </w:r>
    </w:p>
    <w:sectPr>
      <w:headerReference w:type="default" r:id="rId2"/>
      <w:type w:val="nextPage"/>
      <w:pgSz w:w="11906" w:h="16838"/>
      <w:pgMar w:left="1440" w:right="685" w:gutter="0" w:header="278" w:top="704" w:footer="0" w:bottom="2247"/>
      <w:pgNumType w:fmt="decimal"/>
      <w:formProt w:val="false"/>
      <w:textDirection w:val="lrTb"/>
      <w:docGrid w:type="default" w:linePitch="10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01"/>
    <w:family w:val="roman"/>
    <w:pitch w:val="default"/>
  </w:font>
  <w:font w:name="Arial">
    <w:charset w:val="01"/>
    <w:family w:val="roman"/>
    <w:pitch w:val="default"/>
  </w:font>
  <w:font w:name="Times New Roman">
    <w:charset w:val="01"/>
    <w:family w:val="roman"/>
    <w:pitch w:val="default"/>
  </w:font>
  <w:font w:name="Liberation Sans">
    <w:altName w:val="Arial"/>
    <w:charset w:val="01"/>
    <w:family w:val="roman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widowControl/>
      <w:suppressAutoHyphens w:val="true"/>
      <w:bidi w:val="0"/>
      <w:spacing w:lineRule="auto" w:line="259" w:before="0" w:after="160"/>
      <w:jc w:val="left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95"/>
  <w:defaultTabStop w:val="708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Times New Roman" w:cs="Times New Roman"/>
        <w:sz w:val="22"/>
        <w:szCs w:val="22"/>
        <w:lang w:val="ru-RU" w:eastAsia="ru-RU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locked="1" w:uiPriority="0" w:semiHidden="0" w:unhideWhenUsed="0" w:qFormat="1"/>
    <w:lsdException w:name="heading 1" w:locked="1" w:uiPriority="0" w:semiHidden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uiPriority="0" w:semiHidden="0" w:unhideWhenUsed="0"/>
    <w:lsdException w:name="toc 2" w:locked="1" w:uiPriority="0" w:semiHidden="0" w:unhideWhenUsed="0"/>
    <w:lsdException w:name="toc 3" w:locked="1" w:uiPriority="0" w:semiHidden="0" w:unhideWhenUsed="0"/>
    <w:lsdException w:name="toc 4" w:locked="1" w:uiPriority="0" w:semiHidden="0" w:unhideWhenUsed="0"/>
    <w:lsdException w:name="toc 5" w:locked="1" w:uiPriority="0" w:semiHidden="0" w:unhideWhenUsed="0"/>
    <w:lsdException w:name="toc 6" w:locked="1" w:uiPriority="0" w:semiHidden="0" w:unhideWhenUsed="0"/>
    <w:lsdException w:name="toc 7" w:locked="1" w:uiPriority="0" w:semiHidden="0" w:unhideWhenUsed="0"/>
    <w:lsdException w:name="toc 8" w:locked="1" w:uiPriority="0" w:semiHidden="0" w:unhideWhenUsed="0"/>
    <w:lsdException w:name="toc 9" w:locked="1" w:uiPriority="0" w:semiHidden="0" w:unhideWhenUsed="0"/>
    <w:lsdException w:name="caption" w:locked="1" w:uiPriority="0" w:semiHidden="0" w:unhideWhenUsed="0" w:qFormat="1"/>
    <w:lsdException w:name="Title" w:locked="1" w:uiPriority="0" w:semiHidden="0" w:unhideWhenUsed="0" w:qFormat="1"/>
    <w:lsdException w:name="Default Paragraph Font" w:locked="1" w:uiPriority="0" w:semiHidden="0" w:unhideWhenUsed="0"/>
    <w:lsdException w:name="Subtitle" w:locked="1" w:uiPriority="0" w:semiHidden="0" w:unhideWhenUsed="0" w:qFormat="1"/>
    <w:lsdException w:name="Strong" w:locked="1" w:uiPriority="0" w:semiHidden="0" w:unhideWhenUsed="0" w:qFormat="1"/>
    <w:lsdException w:name="Emphasis" w:locked="1" w:uiPriority="0" w:semiHidden="0" w:unhideWhenUsed="0" w:qFormat="1"/>
    <w:lsdException w:name="Table Grid" w:locked="1" w:uiPriority="0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0d5983"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Times New Roman" w:cs="Calibri"/>
      <w:color w:val="000000"/>
      <w:kern w:val="0"/>
      <w:sz w:val="22"/>
      <w:szCs w:val="22"/>
      <w:lang w:val="uk-UA" w:eastAsia="uk-UA" w:bidi="ar-SA"/>
    </w:rPr>
  </w:style>
  <w:style w:type="paragraph" w:styleId="Heading1">
    <w:name w:val="Heading 1"/>
    <w:basedOn w:val="Normal"/>
    <w:next w:val="Normal"/>
    <w:link w:val="Heading1Char"/>
    <w:uiPriority w:val="99"/>
    <w:qFormat/>
    <w:rsid w:val="000d5983"/>
    <w:pPr>
      <w:keepNext w:val="true"/>
      <w:keepLines/>
      <w:spacing w:lineRule="auto" w:line="240" w:before="0" w:after="3"/>
      <w:ind w:hanging="10" w:left="6537"/>
      <w:outlineLvl w:val="0"/>
    </w:pPr>
    <w:rPr>
      <w:rFonts w:ascii="Arial" w:hAnsi="Arial" w:cs="Times New Roman"/>
      <w:b/>
      <w:sz w:val="14"/>
      <w:lang w:val="en-US" w:eastAsia="en-US"/>
    </w:rPr>
  </w:style>
  <w:style w:type="paragraph" w:styleId="Heading4">
    <w:name w:val="Heading 4"/>
    <w:basedOn w:val="Style14"/>
    <w:next w:val="BodyText"/>
    <w:qFormat/>
    <w:pPr>
      <w:numPr>
        <w:ilvl w:val="3"/>
        <w:numId w:val="1"/>
      </w:numPr>
      <w:spacing w:before="120" w:after="120"/>
      <w:outlineLvl w:val="3"/>
    </w:pPr>
    <w:rPr>
      <w:b/>
      <w:bCs/>
      <w:i/>
      <w:iCs/>
      <w:sz w:val="26"/>
      <w:szCs w:val="26"/>
    </w:rPr>
  </w:style>
  <w:style w:type="character" w:styleId="DefaultParagraphFont" w:default="1">
    <w:name w:val="Default Paragraph Font"/>
    <w:uiPriority w:val="99"/>
    <w:semiHidden/>
    <w:qFormat/>
    <w:rPr/>
  </w:style>
  <w:style w:type="character" w:styleId="Heading1Char" w:customStyle="1">
    <w:name w:val="Heading 1 Char"/>
    <w:basedOn w:val="DefaultParagraphFont"/>
    <w:uiPriority w:val="99"/>
    <w:qFormat/>
    <w:locked/>
    <w:rsid w:val="000d5983"/>
    <w:rPr>
      <w:rFonts w:ascii="Arial" w:hAnsi="Arial" w:cs="Times New Roman"/>
      <w:b/>
      <w:color w:val="000000"/>
      <w:sz w:val="22"/>
    </w:rPr>
  </w:style>
  <w:style w:type="character" w:styleId="BodyTextChar" w:customStyle="1">
    <w:name w:val="Body Text Char"/>
    <w:basedOn w:val="DefaultParagraphFont"/>
    <w:uiPriority w:val="99"/>
    <w:semiHidden/>
    <w:qFormat/>
    <w:locked/>
    <w:rsid w:val="001e4d6e"/>
    <w:rPr>
      <w:rFonts w:cs="Calibri"/>
      <w:color w:val="000000"/>
      <w:lang w:val="uk-UA" w:eastAsia="uk-UA"/>
    </w:rPr>
  </w:style>
  <w:style w:type="character" w:styleId="HeaderChar" w:customStyle="1">
    <w:name w:val="Header Char"/>
    <w:basedOn w:val="DefaultParagraphFont"/>
    <w:uiPriority w:val="99"/>
    <w:semiHidden/>
    <w:qFormat/>
    <w:locked/>
    <w:rsid w:val="001e4d6e"/>
    <w:rPr>
      <w:rFonts w:cs="Calibri"/>
      <w:color w:val="000000"/>
      <w:lang w:val="uk-UA" w:eastAsia="uk-UA"/>
    </w:rPr>
  </w:style>
  <w:style w:type="character" w:styleId="Hyperlink">
    <w:name w:val="Hyperlink"/>
    <w:basedOn w:val="DefaultParagraphFont"/>
    <w:rPr>
      <w:rFonts w:cs="Times New Roman"/>
      <w:color w:val="0000FF"/>
      <w:u w:val="single"/>
    </w:rPr>
  </w:style>
  <w:style w:type="character" w:styleId="Style12">
    <w:name w:val="Символ нумерації"/>
    <w:qFormat/>
    <w:rPr/>
  </w:style>
  <w:style w:type="character" w:styleId="Emphasis">
    <w:name w:val="Emphasis"/>
    <w:qFormat/>
    <w:rPr>
      <w:i/>
      <w:iCs/>
    </w:rPr>
  </w:style>
  <w:style w:type="character" w:styleId="-">
    <w:name w:val="Интернет-ссылка"/>
    <w:qFormat/>
    <w:rPr>
      <w:rFonts w:ascii="Times New Roman" w:hAnsi="Times New Roman" w:eastAsia="Times New Roman" w:cs="Times New Roman"/>
      <w:color w:val="0000FF"/>
      <w:sz w:val="24"/>
      <w:szCs w:val="24"/>
      <w:u w:val="single"/>
    </w:rPr>
  </w:style>
  <w:style w:type="character" w:styleId="HeaderChar1">
    <w:name w:val="Header Char1"/>
    <w:qFormat/>
    <w:rPr>
      <w:rFonts w:ascii="Times New Roman" w:hAnsi="Times New Roman" w:eastAsia="Times New Roman" w:cs="Calibri"/>
      <w:sz w:val="24"/>
      <w:szCs w:val="24"/>
    </w:rPr>
  </w:style>
  <w:style w:type="character" w:styleId="BodyTextChar1">
    <w:name w:val="Body Text Char1"/>
    <w:qFormat/>
    <w:rPr>
      <w:rFonts w:ascii="Times New Roman" w:hAnsi="Times New Roman" w:eastAsia="Times New Roman" w:cs="Calibri"/>
      <w:sz w:val="24"/>
      <w:szCs w:val="24"/>
    </w:rPr>
  </w:style>
  <w:style w:type="character" w:styleId="Spanrvts0">
    <w:name w:val="span_rvts0"/>
    <w:basedOn w:val="DefaultParagraphFont"/>
    <w:qFormat/>
    <w:rPr>
      <w:rFonts w:ascii="Times New Roman" w:hAnsi="Times New Roman" w:eastAsia="Times New Roman" w:cs="Times New Roman"/>
      <w:b w:val="false"/>
      <w:bCs w:val="false"/>
      <w:i w:val="false"/>
      <w:iCs w:val="false"/>
      <w:sz w:val="24"/>
      <w:szCs w:val="24"/>
    </w:rPr>
  </w:style>
  <w:style w:type="character" w:styleId="Arvts96">
    <w:name w:val="a_rvts96"/>
    <w:basedOn w:val="DefaultParagraphFont"/>
    <w:qFormat/>
    <w:rPr>
      <w:rFonts w:ascii="Times New Roman" w:hAnsi="Times New Roman" w:eastAsia="Times New Roman" w:cs="Times New Roman"/>
      <w:b w:val="false"/>
      <w:bCs w:val="false"/>
      <w:i w:val="false"/>
      <w:iCs w:val="false"/>
      <w:color w:val="000099"/>
      <w:sz w:val="24"/>
      <w:szCs w:val="24"/>
    </w:rPr>
  </w:style>
  <w:style w:type="character" w:styleId="Spanrvts9">
    <w:name w:val="span_rvts9"/>
    <w:basedOn w:val="DefaultParagraphFont"/>
    <w:qFormat/>
    <w:rPr>
      <w:rFonts w:ascii="Times New Roman" w:hAnsi="Times New Roman" w:eastAsia="Times New Roman" w:cs="Times New Roman"/>
      <w:b/>
      <w:bCs/>
      <w:i w:val="false"/>
      <w:iCs w:val="false"/>
      <w:sz w:val="24"/>
      <w:szCs w:val="24"/>
    </w:rPr>
  </w:style>
  <w:style w:type="character" w:styleId="Arvts99">
    <w:name w:val="a_rvts99"/>
    <w:basedOn w:val="DefaultParagraphFont"/>
    <w:qFormat/>
    <w:rPr>
      <w:rFonts w:ascii="Times New Roman" w:hAnsi="Times New Roman" w:eastAsia="Times New Roman" w:cs="Times New Roman"/>
      <w:b w:val="false"/>
      <w:bCs w:val="false"/>
      <w:i w:val="false"/>
      <w:iCs w:val="false"/>
      <w:color w:val="006600"/>
      <w:sz w:val="24"/>
      <w:szCs w:val="24"/>
    </w:rPr>
  </w:style>
  <w:style w:type="character" w:styleId="Spanrvts46">
    <w:name w:val="span_rvts46"/>
    <w:basedOn w:val="DefaultParagraphFont"/>
    <w:qFormat/>
    <w:rPr>
      <w:rFonts w:ascii="Times New Roman" w:hAnsi="Times New Roman" w:eastAsia="Times New Roman" w:cs="Times New Roman"/>
      <w:b w:val="false"/>
      <w:bCs w:val="false"/>
      <w:i/>
      <w:iCs/>
      <w:sz w:val="24"/>
      <w:szCs w:val="24"/>
    </w:rPr>
  </w:style>
  <w:style w:type="character" w:styleId="Arvts100">
    <w:name w:val="a_rvts100"/>
    <w:basedOn w:val="DefaultParagraphFont"/>
    <w:qFormat/>
    <w:rPr>
      <w:rFonts w:ascii="Times New Roman" w:hAnsi="Times New Roman" w:eastAsia="Times New Roman" w:cs="Times New Roman"/>
      <w:b w:val="false"/>
      <w:bCs w:val="false"/>
      <w:i/>
      <w:iCs/>
      <w:color w:val="000099"/>
      <w:sz w:val="24"/>
      <w:szCs w:val="24"/>
    </w:rPr>
  </w:style>
  <w:style w:type="character" w:styleId="Style13">
    <w:name w:val="Основной шрифт абзаца"/>
    <w:qFormat/>
    <w:rPr/>
  </w:style>
  <w:style w:type="paragraph" w:styleId="Style14" w:customStyle="1">
    <w:name w:val="Заголовок"/>
    <w:basedOn w:val="Normal"/>
    <w:next w:val="BodyText"/>
    <w:uiPriority w:val="99"/>
    <w:qFormat/>
    <w:rsid w:val="00163fc2"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link w:val="BodyTextChar"/>
    <w:uiPriority w:val="99"/>
    <w:rsid w:val="00163fc2"/>
    <w:pPr>
      <w:spacing w:lineRule="auto" w:line="276" w:before="0" w:after="140"/>
    </w:pPr>
    <w:rPr/>
  </w:style>
  <w:style w:type="paragraph" w:styleId="List">
    <w:name w:val="List"/>
    <w:basedOn w:val="BodyText"/>
    <w:uiPriority w:val="99"/>
    <w:rsid w:val="00163fc2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Style15" w:customStyle="1">
    <w:name w:val="Покажчик"/>
    <w:basedOn w:val="Normal"/>
    <w:uiPriority w:val="99"/>
    <w:qFormat/>
    <w:rsid w:val="00163fc2"/>
    <w:pPr>
      <w:suppressLineNumbers/>
    </w:pPr>
    <w:rPr>
      <w:rFonts w:cs="Lucida Sans"/>
    </w:rPr>
  </w:style>
  <w:style w:type="paragraph" w:styleId="Caption1">
    <w:name w:val="caption1"/>
    <w:basedOn w:val="Normal"/>
    <w:uiPriority w:val="99"/>
    <w:qFormat/>
    <w:rsid w:val="00163fc2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1">
    <w:name w:val="index 1"/>
    <w:basedOn w:val="Normal"/>
    <w:next w:val="Normal"/>
    <w:autoRedefine/>
    <w:uiPriority w:val="99"/>
    <w:semiHidden/>
    <w:qFormat/>
    <w:rsid w:val="000d5983"/>
    <w:pPr>
      <w:ind w:hanging="220" w:left="220"/>
    </w:pPr>
    <w:rPr/>
  </w:style>
  <w:style w:type="paragraph" w:styleId="Indexheading">
    <w:name w:val="index heading"/>
    <w:basedOn w:val="Normal"/>
    <w:uiPriority w:val="99"/>
    <w:qFormat/>
    <w:rsid w:val="00163fc2"/>
    <w:pPr>
      <w:suppressLineNumbers/>
    </w:pPr>
    <w:rPr>
      <w:rFonts w:cs="Lucida Sans"/>
    </w:rPr>
  </w:style>
  <w:style w:type="paragraph" w:styleId="Style16" w:customStyle="1">
    <w:name w:val="Колонтитул"/>
    <w:basedOn w:val="Normal"/>
    <w:uiPriority w:val="99"/>
    <w:qFormat/>
    <w:rsid w:val="00163fc2"/>
    <w:pPr/>
    <w:rPr/>
  </w:style>
  <w:style w:type="paragraph" w:styleId="Style17" w:customStyle="1">
    <w:name w:val="Верхній і нижній колонтитули"/>
    <w:basedOn w:val="Normal"/>
    <w:uiPriority w:val="99"/>
    <w:qFormat/>
    <w:rsid w:val="00163fc2"/>
    <w:pPr/>
    <w:rPr/>
  </w:style>
  <w:style w:type="paragraph" w:styleId="Header">
    <w:name w:val="Header"/>
    <w:basedOn w:val="Style16"/>
    <w:link w:val="HeaderChar"/>
    <w:uiPriority w:val="99"/>
    <w:rsid w:val="00163fc2"/>
    <w:pPr/>
    <w:rPr/>
  </w:style>
  <w:style w:type="paragraph" w:styleId="Style18" w:customStyle="1">
    <w:name w:val="Содержимое таблицы"/>
    <w:basedOn w:val="Normal"/>
    <w:uiPriority w:val="99"/>
    <w:qFormat/>
    <w:rsid w:val="00163fc2"/>
    <w:pPr>
      <w:widowControl w:val="false"/>
      <w:suppressLineNumbers/>
    </w:pPr>
    <w:rPr/>
  </w:style>
  <w:style w:type="paragraph" w:styleId="Style19" w:customStyle="1">
    <w:name w:val="Заголовок таблицы"/>
    <w:basedOn w:val="Style18"/>
    <w:uiPriority w:val="99"/>
    <w:qFormat/>
    <w:rsid w:val="00163fc2"/>
    <w:pPr>
      <w:jc w:val="center"/>
    </w:pPr>
    <w:rPr>
      <w:b/>
      <w:bCs/>
    </w:rPr>
  </w:style>
  <w:style w:type="paragraph" w:styleId="Style20" w:customStyle="1">
    <w:name w:val="Вміст таблиці"/>
    <w:basedOn w:val="Normal"/>
    <w:uiPriority w:val="99"/>
    <w:qFormat/>
    <w:rsid w:val="00163fc2"/>
    <w:pPr>
      <w:widowControl w:val="false"/>
      <w:suppressLineNumbers/>
    </w:pPr>
    <w:rPr/>
  </w:style>
  <w:style w:type="paragraph" w:styleId="Style21">
    <w:name w:val="Заголовок таблиці"/>
    <w:basedOn w:val="Style20"/>
    <w:qFormat/>
    <w:pPr>
      <w:suppressLineNumbers/>
      <w:jc w:val="center"/>
    </w:pPr>
    <w:rPr>
      <w:b/>
      <w:bCs/>
    </w:rPr>
  </w:style>
  <w:style w:type="paragraph" w:styleId="NoSpacing">
    <w:name w:val="No Spacing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ru-RU" w:eastAsia="zh-CN" w:bidi="ar-SA"/>
    </w:rPr>
  </w:style>
  <w:style w:type="paragraph" w:styleId="Style22">
    <w:name w:val="Указатель"/>
    <w:basedOn w:val="Normal"/>
    <w:qFormat/>
    <w:pPr/>
    <w:rPr>
      <w:lang w:val="zxx" w:eastAsia="zxx" w:bidi="zxx"/>
    </w:rPr>
  </w:style>
  <w:style w:type="paragraph" w:styleId="Rvps2">
    <w:name w:val="rvps2"/>
    <w:basedOn w:val="Normal"/>
    <w:qFormat/>
    <w:pPr>
      <w:ind w:firstLine="450"/>
      <w:jc w:val="both"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">
    <w:name w:val="TableGrid"/>
    <w:uiPriority w:val="99"/>
    <w:rsid w:val="000d5983"/>
    <w:rPr>
      <w:lang w:val="uk-UA" w:eastAsia="uk-UA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1213</TotalTime>
  <Application>LibreOffice/7.6.1.2$Windows_X86_64 LibreOffice_project/f5defcebd022c5bc36bbb79be232cb6926d8f674</Application>
  <AppVersion>15.0000</AppVersion>
  <Pages>3</Pages>
  <Words>342</Words>
  <Characters>2338</Characters>
  <CharactersWithSpaces>2631</CharactersWithSpaces>
  <Paragraphs>60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Павло Анатолійович Мостовюк</dc:creator>
  <dc:description/>
  <dc:language>uk-UA</dc:language>
  <cp:lastModifiedBy/>
  <dcterms:modified xsi:type="dcterms:W3CDTF">2025-08-07T11:34:37Z</dcterms:modified>
  <cp:revision>137</cp:revision>
  <dc:subject/>
  <dc:title>ЗАТВЕРДЖЕНО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