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Spacing"/>
        <w:jc w:val="center"/>
        <w:rPr>
          <w:rFonts w:eastAsia="맑은 고딕" w:eastAsiaTheme="minorEastAsia"/>
          <w:b/>
          <w:b/>
          <w:sz w:val="24"/>
          <w:szCs w:val="24"/>
          <w:lang w:val="uk-UA" w:eastAsia="ko-KR"/>
        </w:rPr>
      </w:pPr>
      <w:r>
        <w:rPr>
          <w:b/>
          <w:sz w:val="24"/>
          <w:szCs w:val="24"/>
          <w:lang w:val="uk-UA"/>
        </w:rPr>
        <w:t>ІНФОРМАЦІ</w:t>
      </w:r>
      <w:r>
        <w:rPr>
          <w:rFonts w:eastAsia="맑은 고딕" w:eastAsiaTheme="minorEastAsia"/>
          <w:b/>
          <w:sz w:val="24"/>
          <w:szCs w:val="24"/>
          <w:lang w:val="uk-UA" w:eastAsia="ko-KR"/>
        </w:rPr>
        <w:t>Я</w:t>
      </w:r>
    </w:p>
    <w:p>
      <w:pPr>
        <w:pStyle w:val="NoSpacing"/>
        <w:jc w:val="center"/>
        <w:rPr>
          <w:b/>
          <w:b/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t>про виконання графіку проведення внутрішніх навчань</w:t>
      </w:r>
    </w:p>
    <w:p>
      <w:pPr>
        <w:pStyle w:val="NoSpacing"/>
        <w:jc w:val="center"/>
        <w:rPr>
          <w:b/>
          <w:b/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t xml:space="preserve">Відділом з питань запобігання та виявлення корупції  Головним управлінням Пенсійного фонду України в </w:t>
      </w:r>
      <w:r>
        <w:rPr>
          <w:b/>
          <w:sz w:val="24"/>
          <w:szCs w:val="24"/>
          <w:u w:val="single"/>
          <w:lang w:val="uk-UA"/>
        </w:rPr>
        <w:t>Луганській</w:t>
      </w:r>
      <w:r>
        <w:rPr>
          <w:b/>
          <w:sz w:val="24"/>
          <w:szCs w:val="24"/>
          <w:lang w:val="uk-UA"/>
        </w:rPr>
        <w:t xml:space="preserve"> області</w:t>
      </w:r>
    </w:p>
    <w:p>
      <w:pPr>
        <w:pStyle w:val="NoSpacing"/>
        <w:jc w:val="center"/>
        <w:rPr>
          <w:b/>
          <w:b/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t xml:space="preserve">за ІІ півріччя 2025 року </w:t>
      </w:r>
    </w:p>
    <w:p>
      <w:pPr>
        <w:pStyle w:val="NoSpacing"/>
        <w:jc w:val="center"/>
        <w:rPr>
          <w:b/>
          <w:b/>
          <w:sz w:val="12"/>
          <w:szCs w:val="12"/>
          <w:lang w:val="uk-UA"/>
        </w:rPr>
      </w:pPr>
      <w:r>
        <w:rPr>
          <w:b/>
          <w:sz w:val="12"/>
          <w:szCs w:val="12"/>
          <w:lang w:val="uk-UA"/>
        </w:rPr>
      </w:r>
    </w:p>
    <w:tbl>
      <w:tblPr>
        <w:tblStyle w:val="a4"/>
        <w:tblW w:w="16019" w:type="dxa"/>
        <w:jc w:val="left"/>
        <w:tblInd w:w="-142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539"/>
        <w:gridCol w:w="901"/>
        <w:gridCol w:w="2340"/>
        <w:gridCol w:w="1040"/>
        <w:gridCol w:w="1275"/>
        <w:gridCol w:w="1417"/>
        <w:gridCol w:w="1729"/>
        <w:gridCol w:w="1379"/>
        <w:gridCol w:w="1733"/>
        <w:gridCol w:w="1975"/>
        <w:gridCol w:w="1689"/>
      </w:tblGrid>
      <w:tr>
        <w:trPr/>
        <w:tc>
          <w:tcPr>
            <w:tcW w:w="539" w:type="dxa"/>
            <w:vMerge w:val="restart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b/>
                <w:b/>
                <w:sz w:val="24"/>
                <w:szCs w:val="24"/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</w:r>
          </w:p>
        </w:tc>
        <w:tc>
          <w:tcPr>
            <w:tcW w:w="901" w:type="dxa"/>
            <w:vMerge w:val="restart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b/>
                <w:b/>
                <w:sz w:val="24"/>
                <w:szCs w:val="24"/>
                <w:lang w:val="uk-UA"/>
              </w:rPr>
            </w:pPr>
            <w:r>
              <w:rPr>
                <w:rFonts w:eastAsia="Calibri" w:cs="Calibri"/>
                <w:b/>
                <w:kern w:val="0"/>
                <w:sz w:val="24"/>
                <w:szCs w:val="24"/>
                <w:lang w:val="uk-UA" w:eastAsia="en-US" w:bidi="ar-SA"/>
              </w:rPr>
              <w:t>Терм</w:t>
            </w:r>
          </w:p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b/>
                <w:b/>
                <w:sz w:val="24"/>
                <w:szCs w:val="24"/>
                <w:lang w:val="uk-UA"/>
              </w:rPr>
            </w:pPr>
            <w:r>
              <w:rPr>
                <w:rFonts w:eastAsia="Calibri" w:cs="Calibri"/>
                <w:b/>
                <w:kern w:val="0"/>
                <w:sz w:val="24"/>
                <w:szCs w:val="24"/>
                <w:lang w:val="uk-UA" w:eastAsia="en-US" w:bidi="ar-SA"/>
              </w:rPr>
              <w:t xml:space="preserve">ін </w:t>
            </w:r>
          </w:p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b/>
                <w:b/>
                <w:sz w:val="24"/>
                <w:szCs w:val="24"/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</w:r>
          </w:p>
        </w:tc>
        <w:tc>
          <w:tcPr>
            <w:tcW w:w="2340" w:type="dxa"/>
            <w:vMerge w:val="restart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b/>
                <w:b/>
                <w:sz w:val="24"/>
                <w:szCs w:val="24"/>
                <w:lang w:val="uk-UA"/>
              </w:rPr>
            </w:pPr>
            <w:r>
              <w:rPr>
                <w:rFonts w:eastAsia="Calibri" w:cs="Calibri"/>
                <w:b/>
                <w:kern w:val="0"/>
                <w:sz w:val="24"/>
                <w:szCs w:val="24"/>
                <w:lang w:val="uk-UA" w:eastAsia="en-US" w:bidi="ar-SA"/>
              </w:rPr>
              <w:t>Назва теми</w:t>
            </w:r>
          </w:p>
        </w:tc>
        <w:tc>
          <w:tcPr>
            <w:tcW w:w="1040" w:type="dxa"/>
            <w:vMerge w:val="restart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b/>
                <w:b/>
                <w:sz w:val="24"/>
                <w:szCs w:val="24"/>
                <w:lang w:val="uk-UA"/>
              </w:rPr>
            </w:pPr>
            <w:r>
              <w:rPr>
                <w:rFonts w:eastAsia="Calibri" w:cs="Calibri"/>
                <w:b/>
                <w:kern w:val="0"/>
                <w:sz w:val="24"/>
                <w:szCs w:val="24"/>
                <w:lang w:val="uk-UA" w:eastAsia="en-US" w:bidi="ar-SA"/>
              </w:rPr>
              <w:t>Тип заходу</w:t>
            </w:r>
          </w:p>
        </w:tc>
        <w:tc>
          <w:tcPr>
            <w:tcW w:w="2692" w:type="dxa"/>
            <w:gridSpan w:val="2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b/>
                <w:b/>
                <w:sz w:val="24"/>
                <w:szCs w:val="24"/>
                <w:lang w:val="uk-UA"/>
              </w:rPr>
            </w:pPr>
            <w:r>
              <w:rPr>
                <w:rFonts w:eastAsia="Calibri" w:cs="Calibri"/>
                <w:b/>
                <w:kern w:val="0"/>
                <w:sz w:val="24"/>
                <w:szCs w:val="24"/>
                <w:lang w:val="uk-UA" w:eastAsia="en-US" w:bidi="ar-SA"/>
              </w:rPr>
              <w:t>Години навчань</w:t>
            </w:r>
          </w:p>
        </w:tc>
        <w:tc>
          <w:tcPr>
            <w:tcW w:w="1729" w:type="dxa"/>
            <w:vMerge w:val="restart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b/>
                <w:b/>
                <w:sz w:val="24"/>
                <w:szCs w:val="24"/>
                <w:lang w:val="uk-UA"/>
              </w:rPr>
            </w:pPr>
            <w:r>
              <w:rPr>
                <w:rFonts w:eastAsia="Calibri" w:cs="Calibri"/>
                <w:b/>
                <w:kern w:val="0"/>
                <w:sz w:val="24"/>
                <w:szCs w:val="24"/>
                <w:lang w:val="uk-UA" w:eastAsia="en-US" w:bidi="ar-SA"/>
              </w:rPr>
              <w:t>Цільова аудиторія</w:t>
            </w:r>
          </w:p>
        </w:tc>
        <w:tc>
          <w:tcPr>
            <w:tcW w:w="1379" w:type="dxa"/>
            <w:vMerge w:val="restart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b/>
                <w:b/>
                <w:sz w:val="24"/>
                <w:szCs w:val="24"/>
                <w:lang w:val="uk-UA"/>
              </w:rPr>
            </w:pPr>
            <w:r>
              <w:rPr>
                <w:rFonts w:eastAsia="Calibri" w:cs="Calibri"/>
                <w:b/>
                <w:kern w:val="0"/>
                <w:sz w:val="24"/>
                <w:szCs w:val="24"/>
                <w:lang w:val="uk-UA" w:eastAsia="en-US" w:bidi="ar-SA"/>
              </w:rPr>
              <w:t>Кількість осіб, які взяли участь у заході</w:t>
            </w:r>
          </w:p>
        </w:tc>
        <w:tc>
          <w:tcPr>
            <w:tcW w:w="1733" w:type="dxa"/>
            <w:vMerge w:val="restart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b/>
                <w:b/>
                <w:sz w:val="24"/>
                <w:szCs w:val="24"/>
                <w:lang w:val="uk-UA"/>
              </w:rPr>
            </w:pPr>
            <w:r>
              <w:rPr>
                <w:rFonts w:eastAsia="Calibri" w:cs="Calibri"/>
                <w:b/>
                <w:kern w:val="0"/>
                <w:sz w:val="24"/>
                <w:szCs w:val="24"/>
                <w:lang w:val="uk-UA" w:eastAsia="en-US" w:bidi="ar-SA"/>
              </w:rPr>
              <w:t>Особи, відповідальні за проведення заходу</w:t>
            </w:r>
          </w:p>
        </w:tc>
        <w:tc>
          <w:tcPr>
            <w:tcW w:w="1975" w:type="dxa"/>
            <w:vMerge w:val="restart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b/>
                <w:b/>
                <w:sz w:val="24"/>
                <w:szCs w:val="24"/>
                <w:lang w:val="uk-UA"/>
              </w:rPr>
            </w:pPr>
            <w:r>
              <w:rPr>
                <w:rFonts w:eastAsia="Calibri" w:cs="Calibri"/>
                <w:b/>
                <w:kern w:val="0"/>
                <w:sz w:val="24"/>
                <w:szCs w:val="24"/>
                <w:lang w:val="uk-UA" w:eastAsia="en-US" w:bidi="ar-SA"/>
              </w:rPr>
              <w:t>Спосіб перевірки рівня знань</w:t>
            </w:r>
          </w:p>
        </w:tc>
        <w:tc>
          <w:tcPr>
            <w:tcW w:w="1689" w:type="dxa"/>
            <w:vMerge w:val="restart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b/>
                <w:b/>
                <w:sz w:val="24"/>
                <w:szCs w:val="24"/>
                <w:lang w:val="uk-UA"/>
              </w:rPr>
            </w:pPr>
            <w:r>
              <w:rPr>
                <w:rFonts w:eastAsia="Calibri" w:cs="Calibri"/>
                <w:b/>
                <w:kern w:val="0"/>
                <w:sz w:val="24"/>
                <w:szCs w:val="24"/>
                <w:lang w:val="uk-UA" w:eastAsia="en-US" w:bidi="ar-SA"/>
              </w:rPr>
              <w:t xml:space="preserve">Індикатор виконання </w:t>
            </w:r>
          </w:p>
        </w:tc>
      </w:tr>
      <w:tr>
        <w:trPr/>
        <w:tc>
          <w:tcPr>
            <w:tcW w:w="539" w:type="dxa"/>
            <w:vMerge w:val="continue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b/>
                <w:b/>
                <w:sz w:val="24"/>
                <w:szCs w:val="24"/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</w:r>
          </w:p>
        </w:tc>
        <w:tc>
          <w:tcPr>
            <w:tcW w:w="901" w:type="dxa"/>
            <w:vMerge w:val="continue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b/>
                <w:b/>
                <w:sz w:val="24"/>
                <w:szCs w:val="24"/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</w:r>
          </w:p>
        </w:tc>
        <w:tc>
          <w:tcPr>
            <w:tcW w:w="2340" w:type="dxa"/>
            <w:vMerge w:val="continue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b/>
                <w:b/>
                <w:sz w:val="24"/>
                <w:szCs w:val="24"/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</w:r>
          </w:p>
        </w:tc>
        <w:tc>
          <w:tcPr>
            <w:tcW w:w="1040" w:type="dxa"/>
            <w:vMerge w:val="continue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b/>
                <w:b/>
                <w:sz w:val="24"/>
                <w:szCs w:val="24"/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</w:r>
          </w:p>
        </w:tc>
        <w:tc>
          <w:tcPr>
            <w:tcW w:w="1275" w:type="dxa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b/>
                <w:b/>
                <w:sz w:val="24"/>
                <w:szCs w:val="24"/>
                <w:lang w:val="uk-UA"/>
              </w:rPr>
            </w:pPr>
            <w:r>
              <w:rPr>
                <w:rFonts w:eastAsia="Calibri" w:cs="Calibri"/>
                <w:b/>
                <w:kern w:val="0"/>
                <w:sz w:val="24"/>
                <w:szCs w:val="24"/>
                <w:lang w:val="uk-UA" w:eastAsia="en-US" w:bidi="ar-SA"/>
              </w:rPr>
              <w:t>навчання</w:t>
            </w:r>
          </w:p>
        </w:tc>
        <w:tc>
          <w:tcPr>
            <w:tcW w:w="1417" w:type="dxa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b/>
                <w:b/>
                <w:sz w:val="24"/>
                <w:szCs w:val="24"/>
                <w:lang w:val="uk-UA"/>
              </w:rPr>
            </w:pPr>
            <w:r>
              <w:rPr>
                <w:rFonts w:eastAsia="Calibri" w:cs="Calibri"/>
                <w:b/>
                <w:kern w:val="0"/>
                <w:sz w:val="24"/>
                <w:szCs w:val="24"/>
                <w:lang w:val="uk-UA" w:eastAsia="en-US" w:bidi="ar-SA"/>
              </w:rPr>
              <w:t>самостійна робота</w:t>
            </w:r>
          </w:p>
        </w:tc>
        <w:tc>
          <w:tcPr>
            <w:tcW w:w="1729" w:type="dxa"/>
            <w:vMerge w:val="continue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b/>
                <w:b/>
                <w:sz w:val="24"/>
                <w:szCs w:val="24"/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</w:r>
          </w:p>
        </w:tc>
        <w:tc>
          <w:tcPr>
            <w:tcW w:w="1379" w:type="dxa"/>
            <w:vMerge w:val="continue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b/>
                <w:b/>
                <w:sz w:val="24"/>
                <w:szCs w:val="24"/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</w:r>
          </w:p>
        </w:tc>
        <w:tc>
          <w:tcPr>
            <w:tcW w:w="1733" w:type="dxa"/>
            <w:vMerge w:val="continue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b/>
                <w:b/>
                <w:sz w:val="24"/>
                <w:szCs w:val="24"/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</w:r>
          </w:p>
        </w:tc>
        <w:tc>
          <w:tcPr>
            <w:tcW w:w="1975" w:type="dxa"/>
            <w:vMerge w:val="continue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b/>
                <w:b/>
                <w:sz w:val="24"/>
                <w:szCs w:val="24"/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</w:r>
          </w:p>
        </w:tc>
        <w:tc>
          <w:tcPr>
            <w:tcW w:w="1689" w:type="dxa"/>
            <w:vMerge w:val="continue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b/>
                <w:b/>
                <w:sz w:val="24"/>
                <w:szCs w:val="24"/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</w:r>
          </w:p>
        </w:tc>
      </w:tr>
      <w:tr>
        <w:trPr/>
        <w:tc>
          <w:tcPr>
            <w:tcW w:w="539" w:type="dxa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b/>
                <w:b/>
                <w:sz w:val="24"/>
                <w:szCs w:val="24"/>
                <w:lang w:val="uk-UA"/>
              </w:rPr>
            </w:pPr>
            <w:r>
              <w:rPr>
                <w:rFonts w:eastAsia="Calibri" w:cs="Calibri"/>
                <w:b/>
                <w:kern w:val="0"/>
                <w:sz w:val="24"/>
                <w:szCs w:val="24"/>
                <w:lang w:val="uk-UA" w:eastAsia="en-US" w:bidi="ar-SA"/>
              </w:rPr>
              <w:t>1</w:t>
            </w:r>
          </w:p>
        </w:tc>
        <w:tc>
          <w:tcPr>
            <w:tcW w:w="901" w:type="dxa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b/>
                <w:b/>
                <w:sz w:val="24"/>
                <w:szCs w:val="24"/>
                <w:lang w:val="uk-UA"/>
              </w:rPr>
            </w:pPr>
            <w:r>
              <w:rPr>
                <w:rFonts w:eastAsia="Calibri" w:cs="Calibri"/>
                <w:b/>
                <w:kern w:val="0"/>
                <w:sz w:val="24"/>
                <w:szCs w:val="24"/>
                <w:lang w:val="uk-UA" w:eastAsia="en-US" w:bidi="ar-SA"/>
              </w:rPr>
              <w:t>2</w:t>
            </w:r>
          </w:p>
        </w:tc>
        <w:tc>
          <w:tcPr>
            <w:tcW w:w="2340" w:type="dxa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b/>
                <w:b/>
                <w:sz w:val="24"/>
                <w:szCs w:val="24"/>
                <w:lang w:val="uk-UA"/>
              </w:rPr>
            </w:pPr>
            <w:r>
              <w:rPr>
                <w:rFonts w:eastAsia="Calibri" w:cs="Calibri"/>
                <w:b/>
                <w:kern w:val="0"/>
                <w:sz w:val="24"/>
                <w:szCs w:val="24"/>
                <w:lang w:val="uk-UA" w:eastAsia="en-US" w:bidi="ar-SA"/>
              </w:rPr>
              <w:t>3</w:t>
            </w:r>
          </w:p>
        </w:tc>
        <w:tc>
          <w:tcPr>
            <w:tcW w:w="1040" w:type="dxa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b/>
                <w:b/>
                <w:sz w:val="24"/>
                <w:szCs w:val="24"/>
                <w:lang w:val="uk-UA"/>
              </w:rPr>
            </w:pPr>
            <w:r>
              <w:rPr>
                <w:rFonts w:eastAsia="Calibri" w:cs="Calibri"/>
                <w:b/>
                <w:kern w:val="0"/>
                <w:sz w:val="24"/>
                <w:szCs w:val="24"/>
                <w:lang w:val="uk-UA" w:eastAsia="en-US" w:bidi="ar-SA"/>
              </w:rPr>
              <w:t>4</w:t>
            </w:r>
          </w:p>
        </w:tc>
        <w:tc>
          <w:tcPr>
            <w:tcW w:w="1275" w:type="dxa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b/>
                <w:b/>
                <w:sz w:val="24"/>
                <w:szCs w:val="24"/>
                <w:lang w:val="uk-UA"/>
              </w:rPr>
            </w:pPr>
            <w:r>
              <w:rPr>
                <w:rFonts w:eastAsia="Calibri" w:cs="Calibri"/>
                <w:b/>
                <w:kern w:val="0"/>
                <w:sz w:val="24"/>
                <w:szCs w:val="24"/>
                <w:lang w:val="uk-UA" w:eastAsia="en-US" w:bidi="ar-SA"/>
              </w:rPr>
              <w:t>5</w:t>
            </w:r>
          </w:p>
        </w:tc>
        <w:tc>
          <w:tcPr>
            <w:tcW w:w="1417" w:type="dxa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b/>
                <w:b/>
                <w:sz w:val="24"/>
                <w:szCs w:val="24"/>
                <w:lang w:val="uk-UA"/>
              </w:rPr>
            </w:pPr>
            <w:r>
              <w:rPr>
                <w:rFonts w:eastAsia="Calibri" w:cs="Calibri"/>
                <w:b/>
                <w:kern w:val="0"/>
                <w:sz w:val="24"/>
                <w:szCs w:val="24"/>
                <w:lang w:val="uk-UA" w:eastAsia="en-US" w:bidi="ar-SA"/>
              </w:rPr>
              <w:t>6</w:t>
            </w:r>
          </w:p>
        </w:tc>
        <w:tc>
          <w:tcPr>
            <w:tcW w:w="1729" w:type="dxa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b/>
                <w:b/>
                <w:sz w:val="24"/>
                <w:szCs w:val="24"/>
                <w:lang w:val="uk-UA"/>
              </w:rPr>
            </w:pPr>
            <w:r>
              <w:rPr>
                <w:rFonts w:eastAsia="Calibri" w:cs="Calibri"/>
                <w:b/>
                <w:kern w:val="0"/>
                <w:sz w:val="24"/>
                <w:szCs w:val="24"/>
                <w:lang w:val="uk-UA" w:eastAsia="en-US" w:bidi="ar-SA"/>
              </w:rPr>
              <w:t>7</w:t>
            </w:r>
          </w:p>
        </w:tc>
        <w:tc>
          <w:tcPr>
            <w:tcW w:w="1379" w:type="dxa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b/>
                <w:b/>
                <w:sz w:val="24"/>
                <w:szCs w:val="24"/>
                <w:lang w:val="uk-UA"/>
              </w:rPr>
            </w:pPr>
            <w:r>
              <w:rPr>
                <w:rFonts w:eastAsia="Calibri" w:cs="Calibri"/>
                <w:b/>
                <w:kern w:val="0"/>
                <w:sz w:val="24"/>
                <w:szCs w:val="24"/>
                <w:lang w:val="uk-UA" w:eastAsia="en-US" w:bidi="ar-SA"/>
              </w:rPr>
              <w:t>8</w:t>
            </w:r>
          </w:p>
        </w:tc>
        <w:tc>
          <w:tcPr>
            <w:tcW w:w="1733" w:type="dxa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b/>
                <w:b/>
                <w:sz w:val="24"/>
                <w:szCs w:val="24"/>
                <w:lang w:val="uk-UA"/>
              </w:rPr>
            </w:pPr>
            <w:r>
              <w:rPr>
                <w:rFonts w:eastAsia="Calibri" w:cs="Calibri"/>
                <w:b/>
                <w:kern w:val="0"/>
                <w:sz w:val="24"/>
                <w:szCs w:val="24"/>
                <w:lang w:val="uk-UA" w:eastAsia="en-US" w:bidi="ar-SA"/>
              </w:rPr>
              <w:t>9</w:t>
            </w:r>
          </w:p>
        </w:tc>
        <w:tc>
          <w:tcPr>
            <w:tcW w:w="1975" w:type="dxa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b/>
                <w:b/>
                <w:sz w:val="24"/>
                <w:szCs w:val="24"/>
                <w:lang w:val="uk-UA"/>
              </w:rPr>
            </w:pPr>
            <w:r>
              <w:rPr>
                <w:rFonts w:eastAsia="Calibri" w:cs="Calibri"/>
                <w:b/>
                <w:kern w:val="0"/>
                <w:sz w:val="24"/>
                <w:szCs w:val="24"/>
                <w:lang w:val="uk-UA" w:eastAsia="en-US" w:bidi="ar-SA"/>
              </w:rPr>
              <w:t>10</w:t>
            </w:r>
          </w:p>
        </w:tc>
        <w:tc>
          <w:tcPr>
            <w:tcW w:w="1689" w:type="dxa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b/>
                <w:b/>
                <w:sz w:val="24"/>
                <w:szCs w:val="24"/>
                <w:lang w:val="uk-UA"/>
              </w:rPr>
            </w:pPr>
            <w:r>
              <w:rPr>
                <w:rFonts w:eastAsia="Calibri" w:cs="Calibri"/>
                <w:b/>
                <w:kern w:val="0"/>
                <w:sz w:val="24"/>
                <w:szCs w:val="24"/>
                <w:lang w:val="uk-UA" w:eastAsia="en-US" w:bidi="ar-SA"/>
              </w:rPr>
              <w:t>11</w:t>
            </w:r>
          </w:p>
        </w:tc>
      </w:tr>
      <w:tr>
        <w:trPr/>
        <w:tc>
          <w:tcPr>
            <w:tcW w:w="539" w:type="dxa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Calibri"/>
                <w:kern w:val="0"/>
                <w:sz w:val="24"/>
                <w:szCs w:val="24"/>
                <w:lang w:val="uk-UA" w:eastAsia="en-US" w:bidi="ar-SA"/>
              </w:rPr>
              <w:t>1</w:t>
            </w:r>
          </w:p>
        </w:tc>
        <w:tc>
          <w:tcPr>
            <w:tcW w:w="901" w:type="dxa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Calibri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24.07.2025</w:t>
            </w:r>
          </w:p>
        </w:tc>
        <w:tc>
          <w:tcPr>
            <w:tcW w:w="2340" w:type="dxa"/>
            <w:tcBorders/>
          </w:tcPr>
          <w:p>
            <w:pPr>
              <w:pStyle w:val="NoSpacing"/>
              <w:widowControl w:val="false"/>
              <w:spacing w:before="0" w:after="0"/>
              <w:jc w:val="center"/>
              <w:rPr>
                <w:rFonts w:ascii="Times New Roman" w:hAnsi="Times New Roman" w:eastAsia="Calibri" w:cs="Calibri"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eastAsia="Calibri" w:cs="Calibri" w:cstheme="minorHAnsi" w:eastAsiaTheme="minorHAnsi"/>
                <w:color w:val="auto"/>
                <w:kern w:val="0"/>
                <w:sz w:val="24"/>
                <w:szCs w:val="24"/>
                <w:lang w:val="uk-UA" w:eastAsia="en-US" w:bidi="ar-SA"/>
              </w:rPr>
              <w:t>Вимоги, заборони та обмеження, встановлені Законом України “Про запобігання корупції” (наказ Головного управління від 17.07.2025 № 250 “Про проведення навчання”</w:t>
            </w:r>
          </w:p>
        </w:tc>
        <w:tc>
          <w:tcPr>
            <w:tcW w:w="1040" w:type="dxa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Calibri" w:cstheme="minorHAnsi" w:eastAsiaTheme="minorHAnsi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 xml:space="preserve">Лекція </w:t>
            </w:r>
          </w:p>
        </w:tc>
        <w:tc>
          <w:tcPr>
            <w:tcW w:w="1275" w:type="dxa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Calibri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1 год</w:t>
            </w:r>
          </w:p>
        </w:tc>
        <w:tc>
          <w:tcPr>
            <w:tcW w:w="1417" w:type="dxa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Calibri" w:cstheme="minorHAnsi" w:eastAsiaTheme="minorHAnsi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30 хвилин</w:t>
            </w:r>
          </w:p>
        </w:tc>
        <w:tc>
          <w:tcPr>
            <w:tcW w:w="1729" w:type="dxa"/>
            <w:tcBorders/>
          </w:tcPr>
          <w:p>
            <w:pPr>
              <w:pStyle w:val="NoSpacing"/>
              <w:widowControl w:val="false"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Calibri" w:cstheme="minorHAnsi" w:eastAsiaTheme="minorHAnsi"/>
                <w:kern w:val="0"/>
                <w:sz w:val="24"/>
                <w:szCs w:val="24"/>
                <w:shd w:fill="auto" w:val="clear"/>
                <w:lang w:val="ru-RU" w:eastAsia="en-US" w:bidi="ar-SA"/>
              </w:rPr>
              <w:t xml:space="preserve">Працівники  </w:t>
            </w:r>
            <w:r>
              <w:rPr>
                <w:rFonts w:eastAsia="Calibri" w:cs="Calibri" w:cstheme="minorHAnsi" w:eastAsiaTheme="minorHAnsi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Головного управління</w:t>
            </w:r>
          </w:p>
        </w:tc>
        <w:tc>
          <w:tcPr>
            <w:tcW w:w="1379" w:type="dxa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Calibri" w:cstheme="minorHAnsi" w:eastAsiaTheme="minorHAnsi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235</w:t>
            </w:r>
          </w:p>
        </w:tc>
        <w:tc>
          <w:tcPr>
            <w:tcW w:w="1733" w:type="dxa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rFonts w:eastAsia="Calibri" w:cs="Calibri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Відділ з питань запобігання та виявлення корупції</w:t>
            </w:r>
          </w:p>
        </w:tc>
        <w:tc>
          <w:tcPr>
            <w:tcW w:w="1975" w:type="dxa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Calibri" w:cstheme="minorHAnsi" w:eastAsiaTheme="minorHAnsi"/>
                <w:color w:val="000000"/>
                <w:kern w:val="0"/>
                <w:sz w:val="24"/>
                <w:szCs w:val="24"/>
                <w:shd w:fill="auto" w:val="clear"/>
                <w:lang w:val="ru-RU" w:eastAsia="en-US" w:bidi="ar-SA"/>
              </w:rPr>
              <w:t xml:space="preserve">Тестування   слухачів для встановлення рівня (балу) засвоєння навчального матеріалу. </w:t>
            </w:r>
          </w:p>
          <w:p>
            <w:pPr>
              <w:pStyle w:val="NoSpacing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Calibri" w:cstheme="minorHAnsi" w:eastAsiaTheme="minorHAnsi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О</w:t>
            </w:r>
            <w:r>
              <w:rPr>
                <w:rFonts w:eastAsia="Calibri" w:cs="Calibri" w:cstheme="minorHAnsi" w:eastAsiaTheme="minorHAnsi"/>
                <w:color w:val="000000"/>
                <w:kern w:val="0"/>
                <w:sz w:val="24"/>
                <w:szCs w:val="24"/>
                <w:shd w:fill="auto" w:val="clear"/>
                <w:lang w:val="ru-RU" w:eastAsia="en-US" w:bidi="ar-SA"/>
              </w:rPr>
              <w:t>питування (анкетування) щодо встановлення рівня якості організації та проведення навчального заходу, рівня професійної компетентності тренера</w:t>
            </w:r>
          </w:p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 w:eastAsia="Calibri" w:cs="Calibri" w:cstheme="minorHAnsi" w:eastAsiaTheme="minorHAnsi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ru-RU" w:eastAsia="en-US" w:bidi="ar-SA"/>
              </w:rPr>
            </w:pPr>
            <w:r>
              <w:rPr>
                <w:rFonts w:eastAsia="Calibri" w:cs="Calibri" w:cstheme="minorHAnsi" w:eastAsiaTheme="minorHAnsi"/>
                <w:color w:val="000000"/>
                <w:kern w:val="0"/>
                <w:sz w:val="24"/>
                <w:szCs w:val="24"/>
                <w:shd w:fill="auto" w:val="clear"/>
                <w:lang w:val="ru-RU" w:eastAsia="en-US" w:bidi="ar-SA"/>
              </w:rPr>
            </w:r>
          </w:p>
        </w:tc>
        <w:tc>
          <w:tcPr>
            <w:tcW w:w="1689" w:type="dxa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Calibri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 xml:space="preserve">Сформовано перелік слухачів. </w:t>
            </w:r>
          </w:p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Calibri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 xml:space="preserve">За результатами тестування та анкетування складено службову записку від  28.07.2025 № 1535/07-16. </w:t>
            </w:r>
          </w:p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/>
            </w:pPr>
            <w:r>
              <w:rPr>
                <w:rFonts w:eastAsia="Calibri" w:cs="Calibri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 xml:space="preserve">Інформацію розміщено  на власних сторінках Головного управління на вебпорталі </w:t>
            </w:r>
            <w:hyperlink r:id="rId2">
              <w:r>
                <w:rPr>
                  <w:rStyle w:val="Style18"/>
                  <w:rFonts w:eastAsia="Calibri" w:cs="Calibri"/>
                  <w:kern w:val="0"/>
                  <w:sz w:val="24"/>
                  <w:szCs w:val="24"/>
                  <w:shd w:fill="auto" w:val="clear"/>
                  <w:lang w:val="uk-UA" w:eastAsia="en-US" w:bidi="ar-SA"/>
                </w:rPr>
                <w:t>https://www.pfu.gov.ua/lg/366241-antykoruptsijnyj-front-znannya-najkrashhyj-zahyst/</w:t>
              </w:r>
            </w:hyperlink>
            <w:r>
              <w:rPr>
                <w:rFonts w:eastAsia="Calibri" w:cs="Calibri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 xml:space="preserve"> та</w:t>
            </w:r>
            <w:r>
              <w:rPr>
                <w:rFonts w:eastAsia="Calibri" w:cs="Calibri"/>
                <w:kern w:val="0"/>
                <w:sz w:val="24"/>
                <w:szCs w:val="24"/>
                <w:shd w:fill="auto" w:val="clear"/>
                <w:lang w:val="en-US" w:eastAsia="en-US" w:bidi="ar-SA"/>
              </w:rPr>
              <w:t xml:space="preserve"> Facebook </w:t>
            </w:r>
            <w:r>
              <w:rPr>
                <w:rFonts w:eastAsia="Calibri" w:cs="Calibri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 xml:space="preserve">  </w:t>
            </w:r>
          </w:p>
        </w:tc>
      </w:tr>
      <w:tr>
        <w:trPr/>
        <w:tc>
          <w:tcPr>
            <w:tcW w:w="539" w:type="dxa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Calibri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2</w:t>
            </w:r>
          </w:p>
        </w:tc>
        <w:tc>
          <w:tcPr>
            <w:tcW w:w="901" w:type="dxa"/>
            <w:tcBorders>
              <w:right w:val="nil"/>
            </w:tcBorders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rFonts w:eastAsia="Calibri" w:cs="Calibri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29.09.2025</w:t>
            </w:r>
          </w:p>
        </w:tc>
        <w:tc>
          <w:tcPr>
            <w:tcW w:w="2340" w:type="dxa"/>
            <w:tcBorders>
              <w:right w:val="nil"/>
            </w:tcBorders>
          </w:tcPr>
          <w:p>
            <w:pPr>
              <w:pStyle w:val="NoSpacing"/>
              <w:widowControl w:val="false"/>
              <w:spacing w:before="0" w:after="0"/>
              <w:jc w:val="center"/>
              <w:rPr>
                <w:rFonts w:ascii="Times New Roman" w:hAnsi="Times New Roman" w:eastAsia="Calibri" w:cs="Calibri"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eastAsia="Calibri" w:cs="Calibri"/>
                <w:kern w:val="0"/>
                <w:sz w:val="24"/>
                <w:szCs w:val="24"/>
                <w:lang w:eastAsia="en-US" w:bidi="ar-SA"/>
              </w:rPr>
              <w:t xml:space="preserve">Правила етичної поведінки </w:t>
            </w:r>
            <w:r>
              <w:rPr>
                <w:rFonts w:eastAsia="Calibri" w:cs="Calibri"/>
                <w:kern w:val="0"/>
                <w:sz w:val="24"/>
                <w:szCs w:val="24"/>
                <w:lang w:val="uk-UA" w:eastAsia="en-US" w:bidi="ar-SA"/>
              </w:rPr>
              <w:t>(наказ Головного управління від 23.09.2025 № 339 “Про проведення навчання”</w:t>
            </w:r>
          </w:p>
        </w:tc>
        <w:tc>
          <w:tcPr>
            <w:tcW w:w="1040" w:type="dxa"/>
            <w:tcBorders>
              <w:right w:val="nil"/>
            </w:tcBorders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Calibri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Лекція</w:t>
            </w:r>
          </w:p>
        </w:tc>
        <w:tc>
          <w:tcPr>
            <w:tcW w:w="1275" w:type="dxa"/>
            <w:tcBorders>
              <w:right w:val="nil"/>
            </w:tcBorders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Calibri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1 год</w:t>
            </w:r>
          </w:p>
        </w:tc>
        <w:tc>
          <w:tcPr>
            <w:tcW w:w="1417" w:type="dxa"/>
            <w:tcBorders>
              <w:right w:val="nil"/>
            </w:tcBorders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Calibri" w:cstheme="minorHAnsi" w:eastAsiaTheme="minorHAnsi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30 хвилин</w:t>
            </w:r>
          </w:p>
        </w:tc>
        <w:tc>
          <w:tcPr>
            <w:tcW w:w="1729" w:type="dxa"/>
            <w:tcBorders>
              <w:right w:val="nil"/>
            </w:tcBorders>
          </w:tcPr>
          <w:p>
            <w:pPr>
              <w:pStyle w:val="NoSpacing"/>
              <w:widowControl w:val="false"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Calibri" w:cstheme="minorHAnsi" w:eastAsiaTheme="minorHAnsi"/>
                <w:kern w:val="0"/>
                <w:sz w:val="24"/>
                <w:szCs w:val="24"/>
                <w:shd w:fill="auto" w:val="clear"/>
                <w:lang w:val="ru-RU" w:eastAsia="en-US" w:bidi="ar-SA"/>
              </w:rPr>
              <w:t xml:space="preserve">Працівники  </w:t>
            </w:r>
            <w:r>
              <w:rPr>
                <w:rFonts w:eastAsia="Calibri" w:cs="Calibri" w:cstheme="minorHAnsi" w:eastAsiaTheme="minorHAnsi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Головного управління</w:t>
            </w:r>
          </w:p>
        </w:tc>
        <w:tc>
          <w:tcPr>
            <w:tcW w:w="1379" w:type="dxa"/>
            <w:tcBorders>
              <w:right w:val="nil"/>
            </w:tcBorders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Calibri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281</w:t>
            </w:r>
          </w:p>
        </w:tc>
        <w:tc>
          <w:tcPr>
            <w:tcW w:w="1733" w:type="dxa"/>
            <w:tcBorders>
              <w:right w:val="nil"/>
            </w:tcBorders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rFonts w:eastAsia="Calibri" w:cs="Calibri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Відділ з питань запобігання та виявлення корупції</w:t>
            </w:r>
          </w:p>
        </w:tc>
        <w:tc>
          <w:tcPr>
            <w:tcW w:w="1975" w:type="dxa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Calibri" w:cstheme="minorHAnsi" w:eastAsiaTheme="minorHAnsi"/>
                <w:color w:val="000000"/>
                <w:kern w:val="0"/>
                <w:sz w:val="24"/>
                <w:szCs w:val="24"/>
                <w:shd w:fill="auto" w:val="clear"/>
                <w:lang w:val="ru-RU" w:eastAsia="en-US" w:bidi="ar-SA"/>
              </w:rPr>
              <w:t xml:space="preserve">Тестування   слухачів для встановлення рівня (балу) засвоєння навчального матеріалу. </w:t>
            </w:r>
          </w:p>
          <w:p>
            <w:pPr>
              <w:pStyle w:val="NoSpacing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Calibri" w:cstheme="minorHAnsi" w:eastAsiaTheme="minorHAnsi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Опитування (анкетування) щодо встановлення рівня якості організації та проведення навчального заходу, рівня професійної компетентності тренера</w:t>
            </w:r>
          </w:p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1689" w:type="dxa"/>
            <w:tcBorders/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Calibri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 xml:space="preserve">Сформовано перелік слухачів. </w:t>
            </w:r>
          </w:p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Calibri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 xml:space="preserve">За результатами тестування та анкетування складено службову записку від  02.10.2025 № 2199/07-16. </w:t>
            </w:r>
          </w:p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Calibri"/>
                <w:kern w:val="0"/>
                <w:sz w:val="24"/>
                <w:szCs w:val="24"/>
                <w:shd w:fill="auto" w:val="clear"/>
                <w:lang w:eastAsia="en-US" w:bidi="ar-SA"/>
              </w:rPr>
              <w:t xml:space="preserve">Інформацію розміщено  на власній сторінці  </w:t>
            </w:r>
            <w:r>
              <w:rPr>
                <w:rFonts w:eastAsia="Calibri" w:cs="Calibri"/>
                <w:kern w:val="0"/>
                <w:sz w:val="24"/>
                <w:szCs w:val="24"/>
                <w:shd w:fill="auto" w:val="clear"/>
                <w:lang w:val="en-US" w:eastAsia="en-US" w:bidi="ar-SA"/>
              </w:rPr>
              <w:t xml:space="preserve">Facebook </w:t>
            </w:r>
            <w:r>
              <w:rPr>
                <w:rFonts w:eastAsia="Calibri" w:cs="Calibri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 xml:space="preserve">та інформаційній сторінці Головного управління вебпорталу Пенсійного фонду України за посиланням </w:t>
            </w:r>
          </w:p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/>
            </w:pPr>
            <w:hyperlink r:id="rId3">
              <w:r>
                <w:rPr>
                  <w:rStyle w:val="Style18"/>
                  <w:rFonts w:eastAsia="Calibri" w:cs="Calibri"/>
                  <w:kern w:val="0"/>
                  <w:sz w:val="24"/>
                  <w:szCs w:val="24"/>
                  <w:shd w:fill="auto" w:val="clear"/>
                  <w:lang w:val="uk-UA" w:eastAsia="en-US" w:bidi="ar-SA"/>
                </w:rPr>
                <w:t>https://www.pfu.gov.ua/lg/367525-pratsivnyky-pensijnoyi-sluzhby-luganshhyny-poglybyly-znannya-z-etyky-derzhavnoyi-sluzhby/</w:t>
              </w:r>
            </w:hyperlink>
            <w:r>
              <w:rPr>
                <w:rFonts w:eastAsia="Calibri" w:cs="Calibri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 xml:space="preserve"> </w:t>
            </w:r>
          </w:p>
        </w:tc>
      </w:tr>
      <w:tr>
        <w:trPr/>
        <w:tc>
          <w:tcPr>
            <w:tcW w:w="539" w:type="dxa"/>
            <w:tcBorders>
              <w:right w:val="nil"/>
            </w:tcBorders>
            <w:tcMar>
              <w:top w:w="55" w:type="dxa"/>
              <w:bottom w:w="55" w:type="dxa"/>
            </w:tcMar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Calibri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3</w:t>
            </w:r>
          </w:p>
        </w:tc>
        <w:tc>
          <w:tcPr>
            <w:tcW w:w="901" w:type="dxa"/>
            <w:tcBorders>
              <w:right w:val="nil"/>
            </w:tcBorders>
            <w:tcMar>
              <w:top w:w="55" w:type="dxa"/>
              <w:bottom w:w="55" w:type="dxa"/>
            </w:tcMar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Calibri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24.11.2025</w:t>
            </w:r>
          </w:p>
        </w:tc>
        <w:tc>
          <w:tcPr>
            <w:tcW w:w="2340" w:type="dxa"/>
            <w:tcBorders>
              <w:right w:val="nil"/>
            </w:tcBorders>
            <w:tcMar>
              <w:top w:w="55" w:type="dxa"/>
              <w:bottom w:w="55" w:type="dxa"/>
            </w:tcMar>
          </w:tcPr>
          <w:p>
            <w:pPr>
              <w:pStyle w:val="NoSpacing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Calibri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Антикорупційна програма: оцінювання корупційних ризиків, моніторинг виконання та оцінка (наказ Головного управління від 20.11.2025 № 638-О “Про проведення навчання”)</w:t>
            </w:r>
          </w:p>
        </w:tc>
        <w:tc>
          <w:tcPr>
            <w:tcW w:w="1040" w:type="dxa"/>
            <w:tcBorders>
              <w:right w:val="nil"/>
            </w:tcBorders>
            <w:tcMar>
              <w:top w:w="55" w:type="dxa"/>
              <w:bottom w:w="55" w:type="dxa"/>
            </w:tcMar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Calibri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Лекція</w:t>
            </w:r>
          </w:p>
        </w:tc>
        <w:tc>
          <w:tcPr>
            <w:tcW w:w="1275" w:type="dxa"/>
            <w:tcBorders>
              <w:right w:val="nil"/>
            </w:tcBorders>
            <w:tcMar>
              <w:top w:w="55" w:type="dxa"/>
              <w:bottom w:w="55" w:type="dxa"/>
            </w:tcMar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Calibri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1 год</w:t>
            </w:r>
          </w:p>
        </w:tc>
        <w:tc>
          <w:tcPr>
            <w:tcW w:w="1417" w:type="dxa"/>
            <w:tcBorders>
              <w:right w:val="nil"/>
            </w:tcBorders>
            <w:tcMar>
              <w:top w:w="55" w:type="dxa"/>
              <w:bottom w:w="55" w:type="dxa"/>
            </w:tcMar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Calibri" w:cstheme="minorHAnsi" w:eastAsiaTheme="minorHAnsi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30 хвилин</w:t>
            </w:r>
          </w:p>
        </w:tc>
        <w:tc>
          <w:tcPr>
            <w:tcW w:w="1729" w:type="dxa"/>
            <w:tcBorders>
              <w:right w:val="nil"/>
            </w:tcBorders>
            <w:tcMar>
              <w:top w:w="55" w:type="dxa"/>
              <w:bottom w:w="55" w:type="dxa"/>
            </w:tcMar>
          </w:tcPr>
          <w:p>
            <w:pPr>
              <w:pStyle w:val="NoSpacing"/>
              <w:widowControl w:val="false"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Calibri" w:cstheme="minorHAnsi" w:eastAsiaTheme="minorHAnsi"/>
                <w:kern w:val="0"/>
                <w:sz w:val="24"/>
                <w:szCs w:val="24"/>
                <w:shd w:fill="auto" w:val="clear"/>
                <w:lang w:val="ru-RU" w:eastAsia="en-US" w:bidi="ar-SA"/>
              </w:rPr>
              <w:t xml:space="preserve">Працівники  </w:t>
            </w:r>
            <w:r>
              <w:rPr>
                <w:rFonts w:eastAsia="Calibri" w:cs="Calibri" w:cstheme="minorHAnsi" w:eastAsiaTheme="minorHAnsi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Головного управління</w:t>
            </w:r>
          </w:p>
        </w:tc>
        <w:tc>
          <w:tcPr>
            <w:tcW w:w="1379" w:type="dxa"/>
            <w:tcBorders>
              <w:right w:val="nil"/>
            </w:tcBorders>
            <w:tcMar>
              <w:top w:w="55" w:type="dxa"/>
              <w:bottom w:w="55" w:type="dxa"/>
            </w:tcMar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Calibri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308</w:t>
            </w:r>
          </w:p>
        </w:tc>
        <w:tc>
          <w:tcPr>
            <w:tcW w:w="1733" w:type="dxa"/>
            <w:tcBorders>
              <w:right w:val="nil"/>
            </w:tcBorders>
            <w:tcMar>
              <w:top w:w="55" w:type="dxa"/>
              <w:bottom w:w="55" w:type="dxa"/>
            </w:tcMar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Calibri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Відділ з питань запобігання та виявлення корупції</w:t>
            </w:r>
          </w:p>
        </w:tc>
        <w:tc>
          <w:tcPr>
            <w:tcW w:w="1975" w:type="dxa"/>
            <w:tcBorders>
              <w:right w:val="nil"/>
            </w:tcBorders>
            <w:tcMar>
              <w:top w:w="55" w:type="dxa"/>
              <w:bottom w:w="55" w:type="dxa"/>
            </w:tcMar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Calibri" w:cstheme="minorHAnsi" w:eastAsiaTheme="minorHAnsi"/>
                <w:color w:val="000000"/>
                <w:kern w:val="0"/>
                <w:sz w:val="24"/>
                <w:szCs w:val="24"/>
                <w:shd w:fill="auto" w:val="clear"/>
                <w:lang w:val="ru-RU" w:eastAsia="en-US" w:bidi="ar-SA"/>
              </w:rPr>
              <w:t xml:space="preserve">Тестування   слухачів для встановлення рівня (балу) засвоєння навчального матеріалу. </w:t>
            </w:r>
          </w:p>
          <w:p>
            <w:pPr>
              <w:pStyle w:val="NoSpacing"/>
              <w:widowControl w:val="fals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Calibri" w:cstheme="minorHAnsi" w:eastAsiaTheme="minorHAnsi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О</w:t>
            </w:r>
            <w:r>
              <w:rPr>
                <w:rFonts w:eastAsia="Calibri" w:cs="Calibri" w:cstheme="minorHAnsi" w:eastAsiaTheme="minorHAnsi"/>
                <w:color w:val="000000"/>
                <w:kern w:val="0"/>
                <w:sz w:val="24"/>
                <w:szCs w:val="24"/>
                <w:shd w:fill="auto" w:val="clear"/>
                <w:lang w:val="ru-RU" w:eastAsia="en-US" w:bidi="ar-SA"/>
              </w:rPr>
              <w:t>питування (анкетування) щодо встановлення рівня якості організації та проведення навчального заходу, рівня професійної компетентності тренера</w:t>
            </w:r>
          </w:p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rFonts w:ascii="Times New Roman" w:hAnsi="Times New Roman" w:eastAsia="Calibri" w:cs="Calibri" w:cstheme="minorHAnsi" w:eastAsiaTheme="minorHAnsi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ru-RU" w:eastAsia="en-US" w:bidi="ar-SA"/>
              </w:rPr>
            </w:pPr>
            <w:r>
              <w:rPr>
                <w:rFonts w:eastAsia="Calibri" w:cs="Calibri" w:cstheme="minorHAnsi" w:eastAsiaTheme="minorHAnsi"/>
                <w:color w:val="000000"/>
                <w:kern w:val="0"/>
                <w:sz w:val="24"/>
                <w:szCs w:val="24"/>
                <w:shd w:fill="auto" w:val="clear"/>
                <w:lang w:val="ru-RU" w:eastAsia="en-US" w:bidi="ar-SA"/>
              </w:rPr>
            </w:r>
          </w:p>
        </w:tc>
        <w:tc>
          <w:tcPr>
            <w:tcW w:w="1689" w:type="dxa"/>
            <w:tcBorders/>
            <w:tcMar>
              <w:top w:w="55" w:type="dxa"/>
              <w:bottom w:w="55" w:type="dxa"/>
            </w:tcMar>
          </w:tcPr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Calibri" w:cstheme="minorHAnsi" w:eastAsiaTheme="minorHAnsi"/>
                <w:color w:val="000000"/>
                <w:kern w:val="0"/>
                <w:sz w:val="24"/>
                <w:szCs w:val="24"/>
                <w:shd w:fill="auto" w:val="clear"/>
                <w:lang w:val="ru-RU" w:eastAsia="en-US" w:bidi="ar-SA"/>
              </w:rPr>
              <w:t xml:space="preserve">Сформовано перелік слухачів. </w:t>
            </w:r>
          </w:p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Calibri" w:cstheme="minorHAnsi" w:eastAsiaTheme="minorHAnsi"/>
                <w:color w:val="000000"/>
                <w:kern w:val="0"/>
                <w:sz w:val="24"/>
                <w:szCs w:val="24"/>
                <w:shd w:fill="auto" w:val="clear"/>
                <w:lang w:val="ru-RU" w:eastAsia="en-US" w:bidi="ar-SA"/>
              </w:rPr>
              <w:t xml:space="preserve">За результатами тестування та анкетування складено службову записку від  </w:t>
            </w:r>
            <w:r>
              <w:rPr>
                <w:rFonts w:eastAsia="Calibri" w:cs="Calibri" w:cstheme="minorHAnsi" w:eastAsiaTheme="minorHAnsi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26.11.2025</w:t>
            </w:r>
            <w:r>
              <w:rPr>
                <w:rFonts w:eastAsia="Calibri" w:cs="Calibri" w:cstheme="minorHAnsi" w:eastAsiaTheme="minorHAnsi"/>
                <w:color w:val="000000"/>
                <w:kern w:val="0"/>
                <w:sz w:val="24"/>
                <w:szCs w:val="24"/>
                <w:shd w:fill="auto" w:val="clear"/>
                <w:lang w:val="ru-RU" w:eastAsia="en-US" w:bidi="ar-SA"/>
              </w:rPr>
              <w:t xml:space="preserve"> № </w:t>
            </w:r>
            <w:r>
              <w:rPr>
                <w:rFonts w:eastAsia="Calibri" w:cs="Calibri" w:cstheme="minorHAnsi" w:eastAsiaTheme="minorHAnsi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2681/07-16.</w:t>
            </w:r>
          </w:p>
          <w:p>
            <w:pPr>
              <w:pStyle w:val="NoSpacing"/>
              <w:widowControl w:val="false"/>
              <w:suppressAutoHyphens w:val="true"/>
              <w:spacing w:before="0" w:after="0"/>
              <w:jc w:val="center"/>
              <w:rPr/>
            </w:pPr>
            <w:r>
              <w:rPr>
                <w:rFonts w:eastAsia="Calibri" w:cs="Calibri" w:cstheme="minorHAnsi" w:eastAsiaTheme="minorHAnsi"/>
                <w:color w:val="000000"/>
                <w:kern w:val="0"/>
                <w:sz w:val="24"/>
                <w:szCs w:val="24"/>
                <w:shd w:fill="auto" w:val="clear"/>
                <w:lang w:val="ru-RU" w:eastAsia="en-US" w:bidi="ar-SA"/>
              </w:rPr>
              <w:t xml:space="preserve">Інформацію розміщено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eastAsia="Calibri" w:cs="Calibri" w:cstheme="minorHAnsi" w:eastAsiaTheme="minorHAnsi"/>
                <w:color w:val="000000"/>
                <w:kern w:val="0"/>
                <w:sz w:val="24"/>
                <w:szCs w:val="24"/>
                <w:shd w:fill="auto" w:val="clear"/>
                <w:lang w:val="ru-RU" w:eastAsia="en-US" w:bidi="ar-SA"/>
              </w:rPr>
              <w:t xml:space="preserve">на власній сторінці  Facebook та інформаційній сторінці Головного управління вебпорталу Пенсійного фонду України за посиланням     </w:t>
            </w:r>
            <w:hyperlink r:id="rId4">
              <w:r>
                <w:rPr>
                  <w:rStyle w:val="Style18"/>
                  <w:rFonts w:eastAsia="Calibri" w:cs="Calibri" w:cstheme="minorHAnsi" w:eastAsiaTheme="minorHAnsi"/>
                  <w:color w:val="000000"/>
                  <w:kern w:val="0"/>
                  <w:sz w:val="24"/>
                  <w:szCs w:val="24"/>
                  <w:shd w:fill="auto" w:val="clear"/>
                  <w:lang w:val="ru-RU" w:eastAsia="en-US" w:bidi="ar-SA"/>
                </w:rPr>
                <w:t>https://www.pfu.gov.ua/lg/368594-fahove-navchannya-yak-otsinyuvaty-ta-zmenshuvaty-koruptsijni-ryzyky/</w:t>
              </w:r>
            </w:hyperlink>
            <w:r>
              <w:rPr>
                <w:rFonts w:eastAsia="Calibri" w:cs="Calibri" w:cstheme="minorHAnsi" w:eastAsiaTheme="minorHAnsi"/>
                <w:color w:val="000000"/>
                <w:kern w:val="0"/>
                <w:sz w:val="24"/>
                <w:szCs w:val="24"/>
                <w:shd w:fill="auto" w:val="clear"/>
                <w:lang w:val="ru-RU" w:eastAsia="en-US" w:bidi="ar-SA"/>
              </w:rPr>
              <w:t xml:space="preserve">  </w:t>
            </w:r>
          </w:p>
        </w:tc>
      </w:tr>
    </w:tbl>
    <w:p>
      <w:pPr>
        <w:pStyle w:val="NoSpacing"/>
        <w:jc w:val="center"/>
        <w:rPr>
          <w:b/>
          <w:b/>
          <w:szCs w:val="28"/>
          <w:lang w:val="uk-UA"/>
        </w:rPr>
      </w:pPr>
      <w:r>
        <w:rPr>
          <w:b/>
          <w:szCs w:val="28"/>
          <w:lang w:val="uk-UA"/>
        </w:rPr>
        <w:t>________________________</w:t>
      </w:r>
    </w:p>
    <w:p>
      <w:pPr>
        <w:pStyle w:val="Normal"/>
        <w:jc w:val="center"/>
        <w:rPr/>
      </w:pPr>
      <w:r>
        <w:rPr/>
      </w:r>
    </w:p>
    <w:p>
      <w:pPr>
        <w:pStyle w:val="Normal"/>
        <w:spacing w:before="0" w:after="160"/>
        <w:jc w:val="center"/>
        <w:rPr/>
      </w:pPr>
      <w:r>
        <w:rPr/>
      </w:r>
    </w:p>
    <w:sectPr>
      <w:headerReference w:type="default" r:id="rId5"/>
      <w:type w:val="nextPage"/>
      <w:pgSz w:orient="landscape" w:w="16838" w:h="11906"/>
      <w:pgMar w:left="1701" w:right="567" w:gutter="0" w:header="709" w:top="1134" w:footer="0" w:bottom="426"/>
      <w:pgNumType w:fmt="decimal"/>
      <w:formProt w:val="false"/>
      <w:titlePg/>
      <w:textDirection w:val="lrTb"/>
      <w:docGrid w:type="default" w:linePitch="381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Segoe UI">
    <w:charset w:val="cc"/>
    <w:family w:val="roman"/>
    <w:pitch w:val="variable"/>
  </w:font>
  <w:font w:name="Liberation Sans">
    <w:altName w:val="Arial"/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7"/>
      <w:jc w:val="center"/>
      <w:rPr>
        <w:lang w:val="uk-UA"/>
      </w:rPr>
    </w:pPr>
    <w:r>
      <w:rPr>
        <w:lang w:val="uk-UA"/>
      </w:rPr>
      <w:fldChar w:fldCharType="begin"/>
    </w:r>
    <w:r>
      <w:rPr>
        <w:lang w:val="uk-UA"/>
      </w:rPr>
      <w:instrText xml:space="preserve"> PAGE </w:instrText>
    </w:r>
    <w:r>
      <w:rPr>
        <w:lang w:val="uk-UA"/>
      </w:rPr>
      <w:fldChar w:fldCharType="separate"/>
    </w:r>
    <w:r>
      <w:rPr>
        <w:lang w:val="uk-UA"/>
      </w:rPr>
      <w:t>4</w:t>
    </w:r>
    <w:r>
      <w:rPr>
        <w:lang w:val="uk-UA"/>
      </w:rPr>
      <w:fldChar w:fldCharType="end"/>
    </w:r>
  </w:p>
</w:hdr>
</file>

<file path=word/settings.xml><?xml version="1.0" encoding="utf-8"?>
<w:settings xmlns:w="http://schemas.openxmlformats.org/wordprocessingml/2006/main">
  <w:zoom w:percent="77"/>
  <w:defaultTabStop w:val="708"/>
  <w:autoHyphenation w:val="true"/>
  <w:hyphenationZone w:val="425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ko-KR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Calibri" w:cs="Calibri" w:cstheme="minorHAnsi" w:eastAsiaTheme="minorHAnsi"/>
        <w:sz w:val="28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Times New Roman" w:hAnsi="Times New Roman" w:eastAsia="Calibri" w:cs="Calibri" w:cstheme="minorHAnsi" w:eastAsiaTheme="minorHAnsi"/>
      <w:color w:val="auto"/>
      <w:kern w:val="0"/>
      <w:sz w:val="28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у виносці Знак"/>
    <w:basedOn w:val="DefaultParagraphFont"/>
    <w:link w:val="BalloonText"/>
    <w:uiPriority w:val="99"/>
    <w:semiHidden/>
    <w:qFormat/>
    <w:rsid w:val="003028f0"/>
    <w:rPr>
      <w:rFonts w:ascii="Segoe UI" w:hAnsi="Segoe UI" w:cs="Segoe UI"/>
      <w:sz w:val="18"/>
      <w:szCs w:val="18"/>
    </w:rPr>
  </w:style>
  <w:style w:type="character" w:styleId="Style15" w:customStyle="1">
    <w:name w:val="Верхній колонтитул Знак"/>
    <w:basedOn w:val="DefaultParagraphFont"/>
    <w:uiPriority w:val="99"/>
    <w:qFormat/>
    <w:rsid w:val="003028f0"/>
    <w:rPr/>
  </w:style>
  <w:style w:type="character" w:styleId="Style16" w:customStyle="1">
    <w:name w:val="Нижній колонтитул Знак"/>
    <w:basedOn w:val="DefaultParagraphFont"/>
    <w:uiPriority w:val="99"/>
    <w:qFormat/>
    <w:rsid w:val="003028f0"/>
    <w:rPr/>
  </w:style>
  <w:style w:type="character" w:styleId="Style17">
    <w:name w:val="Интернет-ссылка"/>
    <w:qFormat/>
    <w:rPr>
      <w:color w:val="000080"/>
      <w:u w:val="single"/>
      <w:lang w:val="zxx" w:eastAsia="zxx" w:bidi="zxx"/>
    </w:rPr>
  </w:style>
  <w:style w:type="character" w:styleId="Style18">
    <w:name w:val="Hyperlink"/>
    <w:rPr>
      <w:color w:val="000080"/>
      <w:u w:val="single"/>
    </w:rPr>
  </w:style>
  <w:style w:type="paragraph" w:styleId="Style19">
    <w:name w:val="Заголовок"/>
    <w:basedOn w:val="Normal"/>
    <w:next w:val="Style20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20">
    <w:name w:val="Body Text"/>
    <w:basedOn w:val="Normal"/>
    <w:pPr>
      <w:spacing w:lineRule="auto" w:line="276" w:before="0" w:after="140"/>
    </w:pPr>
    <w:rPr/>
  </w:style>
  <w:style w:type="paragraph" w:styleId="Style21">
    <w:name w:val="List"/>
    <w:basedOn w:val="Style20"/>
    <w:pPr/>
    <w:rPr>
      <w:rFonts w:cs="Arial"/>
    </w:rPr>
  </w:style>
  <w:style w:type="paragraph" w:styleId="Style22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23">
    <w:name w:val="Покажчик"/>
    <w:basedOn w:val="Normal"/>
    <w:qFormat/>
    <w:pPr>
      <w:suppressLineNumbers/>
    </w:pPr>
    <w:rPr>
      <w:rFonts w:cs="Lucida Sans"/>
    </w:rPr>
  </w:style>
  <w:style w:type="paragraph" w:styleId="Style24">
    <w:name w:val="Указатель"/>
    <w:basedOn w:val="Normal"/>
    <w:qFormat/>
    <w:pPr>
      <w:suppressLineNumbers/>
    </w:pPr>
    <w:rPr>
      <w:rFonts w:cs="Arial"/>
      <w:lang w:val="zxx" w:eastAsia="zxx" w:bidi="zxx"/>
    </w:rPr>
  </w:style>
  <w:style w:type="paragraph" w:styleId="NoSpacing">
    <w:name w:val="No Spacing"/>
    <w:uiPriority w:val="1"/>
    <w:qFormat/>
    <w:rsid w:val="00b51408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Calibri" w:cs="Calibri" w:cstheme="minorHAnsi" w:eastAsiaTheme="minorHAnsi"/>
      <w:color w:val="auto"/>
      <w:kern w:val="0"/>
      <w:sz w:val="28"/>
      <w:szCs w:val="22"/>
      <w:lang w:val="ru-RU" w:eastAsia="en-US" w:bidi="ar-SA"/>
    </w:rPr>
  </w:style>
  <w:style w:type="paragraph" w:styleId="BalloonText">
    <w:name w:val="Balloon Text"/>
    <w:basedOn w:val="Normal"/>
    <w:link w:val="Style14"/>
    <w:uiPriority w:val="99"/>
    <w:semiHidden/>
    <w:unhideWhenUsed/>
    <w:qFormat/>
    <w:rsid w:val="003028f0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Style25">
    <w:name w:val="Колонтитул"/>
    <w:basedOn w:val="Normal"/>
    <w:qFormat/>
    <w:pPr/>
    <w:rPr/>
  </w:style>
  <w:style w:type="paragraph" w:styleId="Style26">
    <w:name w:val="Верхній і нижній колонтитули"/>
    <w:basedOn w:val="Normal"/>
    <w:qFormat/>
    <w:pPr/>
    <w:rPr/>
  </w:style>
  <w:style w:type="paragraph" w:styleId="Style27">
    <w:name w:val="Header"/>
    <w:basedOn w:val="Normal"/>
    <w:link w:val="Style15"/>
    <w:uiPriority w:val="99"/>
    <w:unhideWhenUsed/>
    <w:rsid w:val="003028f0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8">
    <w:name w:val="Footer"/>
    <w:basedOn w:val="Normal"/>
    <w:link w:val="Style16"/>
    <w:uiPriority w:val="99"/>
    <w:unhideWhenUsed/>
    <w:rsid w:val="003028f0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9">
    <w:name w:val="Содержимое таблицы"/>
    <w:basedOn w:val="Normal"/>
    <w:qFormat/>
    <w:pPr>
      <w:widowControl w:val="false"/>
      <w:suppressLineNumbers/>
    </w:pPr>
    <w:rPr/>
  </w:style>
  <w:style w:type="paragraph" w:styleId="Style30">
    <w:name w:val="Заголовок таблицы"/>
    <w:basedOn w:val="Style29"/>
    <w:qFormat/>
    <w:pPr>
      <w:suppressLineNumbers/>
      <w:jc w:val="center"/>
    </w:pPr>
    <w:rPr>
      <w:b/>
      <w:bCs/>
    </w:rPr>
  </w:style>
  <w:style w:type="paragraph" w:styleId="Style31">
    <w:name w:val="Вміст таблиці"/>
    <w:basedOn w:val="Normal"/>
    <w:qFormat/>
    <w:pPr>
      <w:widowControl w:val="false"/>
      <w:suppressLineNumbers/>
    </w:pPr>
    <w:rPr/>
  </w:style>
  <w:style w:type="paragraph" w:styleId="Style32">
    <w:name w:val="Заголовок таблиці"/>
    <w:basedOn w:val="Style31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39"/>
    <w:rsid w:val="009617d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www.pfu.gov.ua/lg/366241-antykoruptsijnyj-front-znannya-najkrashhyj-zahyst/" TargetMode="External"/><Relationship Id="rId3" Type="http://schemas.openxmlformats.org/officeDocument/2006/relationships/hyperlink" Target="https://www.pfu.gov.ua/lg/367525-pratsivnyky-pensijnoyi-sluzhby-luganshhyny-poglybyly-znannya-z-etyky-derzhavnoyi-sluzhby/" TargetMode="External"/><Relationship Id="rId4" Type="http://schemas.openxmlformats.org/officeDocument/2006/relationships/hyperlink" Target="https://www.pfu.gov.ua/lg/368594-fahove-navchannya-yak-otsinyuvaty-ta-zmenshuvaty-koruptsijni-ryzyky/" TargetMode="External"/><Relationship Id="rId5" Type="http://schemas.openxmlformats.org/officeDocument/2006/relationships/header" Target="header1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Application>LibreOffice/7.4.3.2$Windows_X86_64 LibreOffice_project/1048a8393ae2eeec98dff31b5c133c5f1d08b890</Application>
  <AppVersion>15.0000</AppVersion>
  <Pages>4</Pages>
  <Words>342</Words>
  <Characters>2681</Characters>
  <CharactersWithSpaces>2992</CharactersWithSpaces>
  <Paragraphs>72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2023-06-19T07:12:00Z</dcterms:created>
  <dc:creator>Diana Vladimirovna</dc:creator>
  <dc:description/>
  <dc:language>en-US</dc:language>
  <cp:lastModifiedBy/>
  <cp:lastPrinted>2021-09-28T13:43:00Z</cp:lastPrinted>
  <dcterms:modified xsi:type="dcterms:W3CDTF">2026-01-07T10:46:49Z</dcterms:modified>
  <cp:revision>63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