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Spacing"/>
        <w:jc w:val="center"/>
        <w:rPr>
          <w:rFonts w:cs="Times New Roman"/>
          <w:b/>
          <w:b/>
          <w:sz w:val="24"/>
          <w:szCs w:val="24"/>
          <w:lang w:val="uk-UA"/>
        </w:rPr>
      </w:pPr>
      <w:r>
        <w:rPr>
          <w:rFonts w:cs="Times New Roman"/>
          <w:b/>
          <w:sz w:val="24"/>
          <w:szCs w:val="24"/>
          <w:lang w:val="uk-UA"/>
        </w:rPr>
        <w:t>ІНФОРМАЦІЯ</w:t>
      </w:r>
    </w:p>
    <w:p>
      <w:pPr>
        <w:pStyle w:val="NoSpacing"/>
        <w:jc w:val="center"/>
        <w:rPr>
          <w:rFonts w:cs="Times New Roman"/>
          <w:b/>
          <w:b/>
          <w:sz w:val="24"/>
          <w:szCs w:val="24"/>
          <w:lang w:val="uk-UA"/>
        </w:rPr>
      </w:pPr>
      <w:r>
        <w:rPr>
          <w:rFonts w:cs="Times New Roman"/>
          <w:b/>
          <w:sz w:val="24"/>
          <w:szCs w:val="24"/>
          <w:lang w:val="uk-UA"/>
        </w:rPr>
        <w:t>про виконання плану заходів</w:t>
      </w:r>
    </w:p>
    <w:p>
      <w:pPr>
        <w:pStyle w:val="NoSpacing"/>
        <w:jc w:val="center"/>
        <w:rPr>
          <w:rFonts w:cs="Times New Roman"/>
          <w:b/>
          <w:b/>
          <w:sz w:val="24"/>
          <w:szCs w:val="24"/>
          <w:lang w:val="uk-UA"/>
        </w:rPr>
      </w:pPr>
      <w:r>
        <w:rPr>
          <w:rFonts w:cs="Times New Roman"/>
          <w:b/>
          <w:sz w:val="24"/>
          <w:szCs w:val="24"/>
          <w:lang w:val="uk-UA"/>
        </w:rPr>
        <w:t>з проведення просвітницької діяльності у сфері захисту викривачів</w:t>
      </w:r>
    </w:p>
    <w:p>
      <w:pPr>
        <w:pStyle w:val="NoSpacing"/>
        <w:jc w:val="center"/>
        <w:rPr>
          <w:rFonts w:cs="Times New Roman"/>
          <w:b/>
          <w:b/>
          <w:sz w:val="24"/>
          <w:szCs w:val="24"/>
          <w:lang w:val="uk-UA"/>
        </w:rPr>
      </w:pPr>
      <w:r>
        <w:rPr>
          <w:rFonts w:cs="Times New Roman"/>
          <w:b/>
          <w:sz w:val="24"/>
          <w:szCs w:val="24"/>
          <w:lang w:val="uk-UA"/>
        </w:rPr>
        <w:t xml:space="preserve">Головним управлінням Пенсійного фонду України в </w:t>
      </w:r>
      <w:r>
        <w:rPr>
          <w:rFonts w:cs="Times New Roman"/>
          <w:b/>
          <w:sz w:val="24"/>
          <w:szCs w:val="24"/>
          <w:u w:val="single"/>
          <w:lang w:val="uk-UA"/>
        </w:rPr>
        <w:t>Луганській</w:t>
      </w:r>
      <w:r>
        <w:rPr>
          <w:rFonts w:cs="Times New Roman"/>
          <w:b/>
          <w:sz w:val="24"/>
          <w:szCs w:val="24"/>
          <w:lang w:val="uk-UA"/>
        </w:rPr>
        <w:t xml:space="preserve"> області</w:t>
      </w:r>
    </w:p>
    <w:p>
      <w:pPr>
        <w:pStyle w:val="NoSpacing"/>
        <w:jc w:val="center"/>
        <w:rPr>
          <w:rFonts w:cs="Times New Roman"/>
          <w:b/>
          <w:b/>
          <w:sz w:val="24"/>
          <w:szCs w:val="24"/>
          <w:lang w:val="uk-UA"/>
        </w:rPr>
      </w:pPr>
      <w:r>
        <w:rPr>
          <w:rFonts w:cs="Times New Roman"/>
          <w:b/>
          <w:sz w:val="24"/>
          <w:szCs w:val="24"/>
          <w:lang w:val="uk-UA"/>
        </w:rPr>
        <w:t>за ІІ півріччя 202</w:t>
      </w:r>
      <w:r>
        <w:rPr>
          <w:rFonts w:cs="Times New Roman"/>
          <w:b/>
          <w:sz w:val="24"/>
          <w:szCs w:val="24"/>
          <w:lang w:val="en-US"/>
        </w:rPr>
        <w:t>5</w:t>
      </w:r>
      <w:r>
        <w:rPr>
          <w:rFonts w:cs="Times New Roman"/>
          <w:b/>
          <w:sz w:val="24"/>
          <w:szCs w:val="24"/>
          <w:lang w:val="uk-UA"/>
        </w:rPr>
        <w:t xml:space="preserve"> року</w:t>
      </w:r>
    </w:p>
    <w:p>
      <w:pPr>
        <w:pStyle w:val="NoSpacing"/>
        <w:rPr>
          <w:rFonts w:cs="Times New Roman"/>
          <w:b/>
          <w:b/>
          <w:sz w:val="24"/>
          <w:szCs w:val="24"/>
          <w:lang w:val="uk-UA"/>
        </w:rPr>
      </w:pPr>
      <w:r>
        <w:rPr>
          <w:rFonts w:cs="Times New Roman"/>
          <w:b/>
          <w:sz w:val="24"/>
          <w:szCs w:val="24"/>
          <w:lang w:val="uk-UA"/>
        </w:rPr>
      </w:r>
    </w:p>
    <w:tbl>
      <w:tblPr>
        <w:tblStyle w:val="a4"/>
        <w:tblW w:w="15870" w:type="dxa"/>
        <w:jc w:val="left"/>
        <w:tblInd w:w="-1423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firstRow="1" w:noVBand="1" w:lastRow="0" w:firstColumn="1" w:lastColumn="0" w:noHBand="0" w:val="04a0"/>
      </w:tblPr>
      <w:tblGrid>
        <w:gridCol w:w="557"/>
        <w:gridCol w:w="1"/>
        <w:gridCol w:w="1136"/>
        <w:gridCol w:w="3157"/>
        <w:gridCol w:w="1801"/>
        <w:gridCol w:w="1351"/>
        <w:gridCol w:w="3"/>
        <w:gridCol w:w="1436"/>
        <w:gridCol w:w="2"/>
        <w:gridCol w:w="1463"/>
        <w:gridCol w:w="3"/>
        <w:gridCol w:w="1232"/>
        <w:gridCol w:w="1715"/>
        <w:gridCol w:w="2011"/>
        <w:gridCol w:w="2"/>
        <w:gridCol w:w="1"/>
      </w:tblGrid>
      <w:tr>
        <w:trPr>
          <w:tblHeader w:val="true"/>
        </w:trPr>
        <w:tc>
          <w:tcPr>
            <w:tcW w:w="558" w:type="dxa"/>
            <w:gridSpan w:val="2"/>
            <w:vMerge w:val="restart"/>
            <w:tcBorders/>
          </w:tcPr>
          <w:p>
            <w:pPr>
              <w:pStyle w:val="NoSpacing"/>
              <w:widowControl w:val="false"/>
              <w:suppressAutoHyphens w:val="true"/>
              <w:spacing w:before="0" w:after="0"/>
              <w:jc w:val="center"/>
              <w:rPr>
                <w:rFonts w:cs="Times New Roman"/>
                <w:b/>
                <w:b/>
                <w:sz w:val="24"/>
                <w:szCs w:val="24"/>
                <w:lang w:val="uk-UA"/>
              </w:rPr>
            </w:pPr>
            <w:r>
              <w:rPr>
                <w:rFonts w:eastAsia="Calibri" w:cs="Times New Roman"/>
                <w:b/>
                <w:kern w:val="0"/>
                <w:sz w:val="24"/>
                <w:szCs w:val="24"/>
                <w:lang w:val="uk-UA" w:eastAsia="en-US" w:bidi="ar-SA"/>
              </w:rPr>
              <w:t xml:space="preserve">№ </w:t>
            </w:r>
            <w:r>
              <w:rPr>
                <w:rFonts w:eastAsia="Calibri" w:cs="Times New Roman"/>
                <w:b/>
                <w:kern w:val="0"/>
                <w:sz w:val="24"/>
                <w:szCs w:val="24"/>
                <w:lang w:val="uk-UA" w:eastAsia="en-US" w:bidi="ar-SA"/>
              </w:rPr>
              <w:t>з/п</w:t>
            </w:r>
          </w:p>
        </w:tc>
        <w:tc>
          <w:tcPr>
            <w:tcW w:w="1136" w:type="dxa"/>
            <w:vMerge w:val="restart"/>
            <w:tcBorders/>
          </w:tcPr>
          <w:p>
            <w:pPr>
              <w:pStyle w:val="NoSpacing"/>
              <w:widowControl w:val="false"/>
              <w:suppressAutoHyphens w:val="true"/>
              <w:spacing w:before="0" w:after="0"/>
              <w:jc w:val="center"/>
              <w:rPr>
                <w:rFonts w:cs="Times New Roman"/>
                <w:b/>
                <w:b/>
                <w:sz w:val="24"/>
                <w:szCs w:val="24"/>
                <w:lang w:val="uk-UA"/>
              </w:rPr>
            </w:pPr>
            <w:r>
              <w:rPr>
                <w:rFonts w:eastAsia="Calibri" w:cs="Times New Roman"/>
                <w:b/>
                <w:kern w:val="0"/>
                <w:sz w:val="24"/>
                <w:szCs w:val="24"/>
                <w:lang w:val="uk-UA" w:eastAsia="en-US" w:bidi="ar-SA"/>
              </w:rPr>
              <w:t xml:space="preserve">Термін </w:t>
            </w:r>
          </w:p>
        </w:tc>
        <w:tc>
          <w:tcPr>
            <w:tcW w:w="3157" w:type="dxa"/>
            <w:vMerge w:val="restart"/>
            <w:tcBorders/>
          </w:tcPr>
          <w:p>
            <w:pPr>
              <w:pStyle w:val="NoSpacing"/>
              <w:widowControl w:val="false"/>
              <w:suppressAutoHyphens w:val="true"/>
              <w:spacing w:before="0" w:after="0"/>
              <w:jc w:val="center"/>
              <w:rPr>
                <w:rFonts w:cs="Times New Roman"/>
                <w:b/>
                <w:b/>
                <w:sz w:val="24"/>
                <w:szCs w:val="24"/>
                <w:lang w:val="uk-UA"/>
              </w:rPr>
            </w:pPr>
            <w:r>
              <w:rPr>
                <w:rFonts w:eastAsia="Calibri" w:cs="Times New Roman"/>
                <w:b/>
                <w:kern w:val="0"/>
                <w:sz w:val="24"/>
                <w:szCs w:val="24"/>
                <w:lang w:val="uk-UA" w:eastAsia="en-US" w:bidi="ar-SA"/>
              </w:rPr>
              <w:t>Вид заходу</w:t>
            </w:r>
          </w:p>
        </w:tc>
        <w:tc>
          <w:tcPr>
            <w:tcW w:w="1801" w:type="dxa"/>
            <w:vMerge w:val="restart"/>
            <w:tcBorders/>
          </w:tcPr>
          <w:p>
            <w:pPr>
              <w:pStyle w:val="NoSpacing"/>
              <w:widowControl w:val="false"/>
              <w:suppressAutoHyphens w:val="true"/>
              <w:spacing w:before="0" w:after="0"/>
              <w:jc w:val="center"/>
              <w:rPr>
                <w:rFonts w:cs="Times New Roman"/>
                <w:b/>
                <w:b/>
                <w:sz w:val="24"/>
                <w:szCs w:val="24"/>
                <w:lang w:val="uk-UA"/>
              </w:rPr>
            </w:pPr>
            <w:r>
              <w:rPr>
                <w:rFonts w:eastAsia="Calibri" w:cs="Times New Roman"/>
                <w:b/>
                <w:kern w:val="0"/>
                <w:sz w:val="24"/>
                <w:szCs w:val="24"/>
                <w:lang w:val="uk-UA" w:eastAsia="en-US" w:bidi="ar-SA"/>
              </w:rPr>
              <w:t>Відповідальний підрозділ (особа)</w:t>
            </w:r>
          </w:p>
        </w:tc>
        <w:tc>
          <w:tcPr>
            <w:tcW w:w="2792" w:type="dxa"/>
            <w:gridSpan w:val="4"/>
            <w:tcBorders/>
          </w:tcPr>
          <w:p>
            <w:pPr>
              <w:pStyle w:val="NoSpacing"/>
              <w:widowControl w:val="false"/>
              <w:suppressAutoHyphens w:val="true"/>
              <w:spacing w:before="0" w:after="0"/>
              <w:jc w:val="center"/>
              <w:rPr>
                <w:rFonts w:cs="Times New Roman"/>
                <w:b/>
                <w:b/>
                <w:sz w:val="24"/>
                <w:szCs w:val="24"/>
                <w:lang w:val="uk-UA"/>
              </w:rPr>
            </w:pPr>
            <w:r>
              <w:rPr>
                <w:rFonts w:eastAsia="Calibri" w:cs="Times New Roman"/>
                <w:b/>
                <w:kern w:val="0"/>
                <w:sz w:val="24"/>
                <w:szCs w:val="24"/>
                <w:lang w:val="uk-UA" w:eastAsia="en-US" w:bidi="ar-SA"/>
              </w:rPr>
              <w:t>Години навчань (засідань)</w:t>
            </w:r>
          </w:p>
        </w:tc>
        <w:tc>
          <w:tcPr>
            <w:tcW w:w="1466" w:type="dxa"/>
            <w:gridSpan w:val="2"/>
            <w:tcBorders>
              <w:bottom w:val="nil"/>
            </w:tcBorders>
          </w:tcPr>
          <w:p>
            <w:pPr>
              <w:pStyle w:val="NoSpacing"/>
              <w:widowControl w:val="false"/>
              <w:suppressAutoHyphens w:val="true"/>
              <w:spacing w:before="0" w:after="0"/>
              <w:jc w:val="center"/>
              <w:rPr>
                <w:rFonts w:cs="Times New Roman"/>
                <w:b/>
                <w:b/>
                <w:sz w:val="24"/>
                <w:szCs w:val="24"/>
                <w:lang w:val="uk-UA"/>
              </w:rPr>
            </w:pPr>
            <w:r>
              <w:rPr>
                <w:rFonts w:eastAsia="Calibri" w:cs="Times New Roman"/>
                <w:b/>
                <w:kern w:val="0"/>
                <w:sz w:val="24"/>
                <w:szCs w:val="24"/>
                <w:lang w:val="uk-UA" w:eastAsia="en-US" w:bidi="ar-SA"/>
              </w:rPr>
              <w:t>Цільова аудиторія</w:t>
            </w:r>
            <w:bookmarkStart w:id="0" w:name="_GoBack"/>
            <w:bookmarkEnd w:id="0"/>
          </w:p>
        </w:tc>
        <w:tc>
          <w:tcPr>
            <w:tcW w:w="1232" w:type="dxa"/>
            <w:vMerge w:val="restart"/>
            <w:tcBorders/>
          </w:tcPr>
          <w:p>
            <w:pPr>
              <w:pStyle w:val="NoSpacing"/>
              <w:widowControl w:val="false"/>
              <w:suppressAutoHyphens w:val="true"/>
              <w:spacing w:before="0" w:after="0"/>
              <w:jc w:val="center"/>
              <w:rPr>
                <w:rFonts w:cs="Times New Roman"/>
                <w:b/>
                <w:b/>
                <w:sz w:val="24"/>
                <w:szCs w:val="24"/>
                <w:lang w:val="uk-UA"/>
              </w:rPr>
            </w:pPr>
            <w:r>
              <w:rPr>
                <w:rFonts w:eastAsia="Calibri" w:cs="Times New Roman"/>
                <w:b/>
                <w:kern w:val="0"/>
                <w:sz w:val="24"/>
                <w:szCs w:val="24"/>
                <w:lang w:val="uk-UA" w:eastAsia="en-US" w:bidi="ar-SA"/>
              </w:rPr>
              <w:t>Кількість осіб, які взяли участь у заході</w:t>
            </w:r>
          </w:p>
        </w:tc>
        <w:tc>
          <w:tcPr>
            <w:tcW w:w="1715" w:type="dxa"/>
            <w:vMerge w:val="restart"/>
            <w:tcBorders/>
          </w:tcPr>
          <w:p>
            <w:pPr>
              <w:pStyle w:val="NoSpacing"/>
              <w:widowControl w:val="false"/>
              <w:suppressAutoHyphens w:val="true"/>
              <w:spacing w:before="0" w:after="0"/>
              <w:jc w:val="center"/>
              <w:rPr>
                <w:rFonts w:cs="Times New Roman"/>
                <w:b/>
                <w:b/>
                <w:sz w:val="24"/>
                <w:szCs w:val="24"/>
                <w:lang w:val="uk-UA"/>
              </w:rPr>
            </w:pPr>
            <w:r>
              <w:rPr>
                <w:rFonts w:eastAsia="Calibri" w:cs="Times New Roman"/>
                <w:b/>
                <w:kern w:val="0"/>
                <w:sz w:val="24"/>
                <w:szCs w:val="24"/>
                <w:lang w:val="uk-UA" w:eastAsia="en-US" w:bidi="ar-SA"/>
              </w:rPr>
              <w:t xml:space="preserve">Спосіб перевірки </w:t>
            </w:r>
          </w:p>
          <w:p>
            <w:pPr>
              <w:pStyle w:val="NoSpacing"/>
              <w:widowControl w:val="false"/>
              <w:suppressAutoHyphens w:val="true"/>
              <w:spacing w:before="0" w:after="0"/>
              <w:jc w:val="center"/>
              <w:rPr>
                <w:rFonts w:cs="Times New Roman"/>
                <w:b/>
                <w:b/>
                <w:sz w:val="24"/>
                <w:szCs w:val="24"/>
                <w:lang w:val="uk-UA"/>
              </w:rPr>
            </w:pPr>
            <w:r>
              <w:rPr>
                <w:rFonts w:eastAsia="Calibri" w:cs="Times New Roman"/>
                <w:b/>
                <w:kern w:val="0"/>
                <w:sz w:val="24"/>
                <w:szCs w:val="24"/>
                <w:lang w:val="uk-UA" w:eastAsia="en-US" w:bidi="ar-SA"/>
              </w:rPr>
              <w:t xml:space="preserve">рівня </w:t>
            </w:r>
          </w:p>
          <w:p>
            <w:pPr>
              <w:pStyle w:val="NoSpacing"/>
              <w:widowControl w:val="false"/>
              <w:suppressAutoHyphens w:val="true"/>
              <w:spacing w:before="0" w:after="0"/>
              <w:jc w:val="center"/>
              <w:rPr>
                <w:rFonts w:cs="Times New Roman"/>
                <w:b/>
                <w:b/>
                <w:sz w:val="24"/>
                <w:szCs w:val="24"/>
              </w:rPr>
            </w:pPr>
            <w:r>
              <w:rPr>
                <w:rFonts w:eastAsia="Calibri" w:cs="Times New Roman"/>
                <w:b/>
                <w:kern w:val="0"/>
                <w:sz w:val="24"/>
                <w:szCs w:val="24"/>
                <w:lang w:val="uk-UA" w:eastAsia="en-US" w:bidi="ar-SA"/>
              </w:rPr>
              <w:t>знань</w:t>
            </w:r>
          </w:p>
        </w:tc>
        <w:tc>
          <w:tcPr>
            <w:tcW w:w="2013" w:type="dxa"/>
            <w:vMerge w:val="restart"/>
            <w:tcBorders/>
          </w:tcPr>
          <w:p>
            <w:pPr>
              <w:pStyle w:val="NoSpacing"/>
              <w:widowControl w:val="false"/>
              <w:suppressAutoHyphens w:val="true"/>
              <w:spacing w:before="0" w:after="0"/>
              <w:ind w:left="-61" w:firstLine="61"/>
              <w:jc w:val="center"/>
              <w:rPr>
                <w:rFonts w:cs="Times New Roman"/>
                <w:b/>
                <w:b/>
                <w:sz w:val="24"/>
                <w:szCs w:val="24"/>
                <w:lang w:val="uk-UA"/>
              </w:rPr>
            </w:pPr>
            <w:r>
              <w:rPr>
                <w:rFonts w:eastAsia="Calibri" w:cs="Times New Roman"/>
                <w:b/>
                <w:kern w:val="0"/>
                <w:sz w:val="24"/>
                <w:szCs w:val="24"/>
                <w:lang w:val="uk-UA" w:eastAsia="en-US" w:bidi="ar-SA"/>
              </w:rPr>
              <w:t>Індикатор</w:t>
            </w:r>
          </w:p>
          <w:p>
            <w:pPr>
              <w:pStyle w:val="NoSpacing"/>
              <w:widowControl w:val="false"/>
              <w:suppressAutoHyphens w:val="true"/>
              <w:spacing w:before="0" w:after="0"/>
              <w:ind w:left="-61" w:firstLine="61"/>
              <w:jc w:val="center"/>
              <w:rPr>
                <w:rFonts w:cs="Times New Roman"/>
                <w:b/>
                <w:b/>
                <w:sz w:val="24"/>
                <w:szCs w:val="24"/>
                <w:lang w:val="uk-UA"/>
              </w:rPr>
            </w:pPr>
            <w:r>
              <w:rPr>
                <w:rFonts w:eastAsia="Calibri" w:cs="Times New Roman"/>
                <w:b/>
                <w:kern w:val="0"/>
                <w:sz w:val="24"/>
                <w:szCs w:val="24"/>
                <w:lang w:val="uk-UA" w:eastAsia="en-US" w:bidi="ar-SA"/>
              </w:rPr>
              <w:t xml:space="preserve">виконання </w:t>
            </w:r>
          </w:p>
        </w:tc>
        <w:tc>
          <w:tcPr>
            <w:tcW w:w="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eastAsia="Calibri" w:cs="Calibri"/>
                <w:kern w:val="0"/>
                <w:sz w:val="28"/>
                <w:szCs w:val="22"/>
                <w:lang w:val="ru-RU" w:eastAsia="en-US" w:bidi="ar-SA"/>
              </w:rPr>
            </w:pPr>
            <w:r>
              <w:rPr>
                <w:rFonts w:eastAsia="Calibri" w:cs="Calibri"/>
                <w:kern w:val="0"/>
                <w:sz w:val="28"/>
                <w:szCs w:val="22"/>
                <w:lang w:val="ru-RU" w:eastAsia="en-US" w:bidi="ar-SA"/>
              </w:rPr>
            </w:r>
          </w:p>
        </w:tc>
      </w:tr>
      <w:tr>
        <w:trPr>
          <w:tblHeader w:val="true"/>
        </w:trPr>
        <w:tc>
          <w:tcPr>
            <w:tcW w:w="558" w:type="dxa"/>
            <w:gridSpan w:val="2"/>
            <w:vMerge w:val="continue"/>
            <w:tcBorders/>
          </w:tcPr>
          <w:p>
            <w:pPr>
              <w:pStyle w:val="NoSpacing"/>
              <w:widowControl w:val="false"/>
              <w:suppressAutoHyphens w:val="true"/>
              <w:spacing w:before="0" w:after="0"/>
              <w:jc w:val="center"/>
              <w:rPr>
                <w:rFonts w:cs="Times New Roman"/>
                <w:b/>
                <w:b/>
                <w:sz w:val="24"/>
                <w:szCs w:val="24"/>
                <w:lang w:val="uk-UA"/>
              </w:rPr>
            </w:pPr>
            <w:r>
              <w:rPr>
                <w:rFonts w:cs="Times New Roman"/>
                <w:b/>
                <w:sz w:val="24"/>
                <w:szCs w:val="24"/>
                <w:lang w:val="uk-UA"/>
              </w:rPr>
            </w:r>
          </w:p>
        </w:tc>
        <w:tc>
          <w:tcPr>
            <w:tcW w:w="1136" w:type="dxa"/>
            <w:vMerge w:val="continue"/>
            <w:tcBorders/>
          </w:tcPr>
          <w:p>
            <w:pPr>
              <w:pStyle w:val="NoSpacing"/>
              <w:widowControl w:val="false"/>
              <w:suppressAutoHyphens w:val="true"/>
              <w:spacing w:before="0" w:after="0"/>
              <w:jc w:val="center"/>
              <w:rPr>
                <w:rFonts w:cs="Times New Roman"/>
                <w:b/>
                <w:b/>
                <w:sz w:val="24"/>
                <w:szCs w:val="24"/>
                <w:lang w:val="uk-UA"/>
              </w:rPr>
            </w:pPr>
            <w:r>
              <w:rPr>
                <w:rFonts w:cs="Times New Roman"/>
                <w:b/>
                <w:sz w:val="24"/>
                <w:szCs w:val="24"/>
                <w:lang w:val="uk-UA"/>
              </w:rPr>
            </w:r>
          </w:p>
        </w:tc>
        <w:tc>
          <w:tcPr>
            <w:tcW w:w="3157" w:type="dxa"/>
            <w:vMerge w:val="continue"/>
            <w:tcBorders/>
          </w:tcPr>
          <w:p>
            <w:pPr>
              <w:pStyle w:val="NoSpacing"/>
              <w:widowControl w:val="false"/>
              <w:suppressAutoHyphens w:val="true"/>
              <w:spacing w:before="0" w:after="0"/>
              <w:jc w:val="center"/>
              <w:rPr>
                <w:rFonts w:cs="Times New Roman"/>
                <w:b/>
                <w:b/>
                <w:sz w:val="24"/>
                <w:szCs w:val="24"/>
                <w:lang w:val="uk-UA"/>
              </w:rPr>
            </w:pPr>
            <w:r>
              <w:rPr>
                <w:rFonts w:cs="Times New Roman"/>
                <w:b/>
                <w:sz w:val="24"/>
                <w:szCs w:val="24"/>
                <w:lang w:val="uk-UA"/>
              </w:rPr>
            </w:r>
          </w:p>
        </w:tc>
        <w:tc>
          <w:tcPr>
            <w:tcW w:w="1801" w:type="dxa"/>
            <w:vMerge w:val="continue"/>
            <w:tcBorders/>
          </w:tcPr>
          <w:p>
            <w:pPr>
              <w:pStyle w:val="NoSpacing"/>
              <w:widowControl w:val="false"/>
              <w:suppressAutoHyphens w:val="true"/>
              <w:spacing w:before="0" w:after="0"/>
              <w:jc w:val="center"/>
              <w:rPr>
                <w:rFonts w:cs="Times New Roman"/>
                <w:b/>
                <w:b/>
                <w:sz w:val="24"/>
                <w:szCs w:val="24"/>
                <w:lang w:val="uk-UA"/>
              </w:rPr>
            </w:pPr>
            <w:r>
              <w:rPr>
                <w:rFonts w:cs="Times New Roman"/>
                <w:b/>
                <w:sz w:val="24"/>
                <w:szCs w:val="24"/>
                <w:lang w:val="uk-UA"/>
              </w:rPr>
            </w:r>
          </w:p>
        </w:tc>
        <w:tc>
          <w:tcPr>
            <w:tcW w:w="1354" w:type="dxa"/>
            <w:gridSpan w:val="2"/>
            <w:tcBorders/>
          </w:tcPr>
          <w:p>
            <w:pPr>
              <w:pStyle w:val="NoSpacing"/>
              <w:widowControl w:val="false"/>
              <w:suppressAutoHyphens w:val="true"/>
              <w:spacing w:before="0" w:after="0"/>
              <w:jc w:val="center"/>
              <w:rPr>
                <w:rFonts w:cs="Times New Roman"/>
                <w:b/>
                <w:b/>
                <w:sz w:val="24"/>
                <w:szCs w:val="24"/>
                <w:lang w:val="uk-UA"/>
              </w:rPr>
            </w:pPr>
            <w:r>
              <w:rPr>
                <w:rFonts w:eastAsia="Calibri" w:cs="Times New Roman"/>
                <w:b/>
                <w:kern w:val="0"/>
                <w:sz w:val="24"/>
                <w:szCs w:val="24"/>
                <w:lang w:val="uk-UA" w:eastAsia="en-US" w:bidi="ar-SA"/>
              </w:rPr>
              <w:t>навчання</w:t>
            </w:r>
          </w:p>
          <w:p>
            <w:pPr>
              <w:pStyle w:val="NoSpacing"/>
              <w:widowControl w:val="false"/>
              <w:suppressAutoHyphens w:val="true"/>
              <w:spacing w:before="0" w:after="0"/>
              <w:jc w:val="center"/>
              <w:rPr>
                <w:rFonts w:cs="Times New Roman"/>
                <w:b/>
                <w:b/>
                <w:sz w:val="24"/>
                <w:szCs w:val="24"/>
                <w:lang w:val="uk-UA"/>
              </w:rPr>
            </w:pPr>
            <w:r>
              <w:rPr>
                <w:rFonts w:eastAsia="Calibri" w:cs="Times New Roman"/>
                <w:b/>
                <w:kern w:val="0"/>
                <w:sz w:val="24"/>
                <w:szCs w:val="24"/>
                <w:lang w:val="uk-UA" w:eastAsia="en-US" w:bidi="ar-SA"/>
              </w:rPr>
              <w:t>(засідання)</w:t>
            </w:r>
          </w:p>
        </w:tc>
        <w:tc>
          <w:tcPr>
            <w:tcW w:w="1438" w:type="dxa"/>
            <w:gridSpan w:val="2"/>
            <w:tcBorders/>
          </w:tcPr>
          <w:p>
            <w:pPr>
              <w:pStyle w:val="NoSpacing"/>
              <w:widowControl w:val="false"/>
              <w:suppressAutoHyphens w:val="true"/>
              <w:spacing w:before="0" w:after="0"/>
              <w:jc w:val="center"/>
              <w:rPr>
                <w:rFonts w:cs="Times New Roman"/>
                <w:b/>
                <w:b/>
                <w:sz w:val="24"/>
                <w:szCs w:val="24"/>
                <w:lang w:val="uk-UA"/>
              </w:rPr>
            </w:pPr>
            <w:r>
              <w:rPr>
                <w:rFonts w:eastAsia="Calibri" w:cs="Times New Roman"/>
                <w:b/>
                <w:kern w:val="0"/>
                <w:sz w:val="24"/>
                <w:szCs w:val="24"/>
                <w:lang w:val="uk-UA" w:eastAsia="en-US" w:bidi="ar-SA"/>
              </w:rPr>
              <w:t>самостійна робота</w:t>
            </w:r>
          </w:p>
        </w:tc>
        <w:tc>
          <w:tcPr>
            <w:tcW w:w="1466" w:type="dxa"/>
            <w:gridSpan w:val="2"/>
            <w:tcBorders>
              <w:top w:val="nil"/>
            </w:tcBorders>
          </w:tcPr>
          <w:p>
            <w:pPr>
              <w:pStyle w:val="NoSpacing"/>
              <w:widowControl w:val="false"/>
              <w:suppressAutoHyphens w:val="true"/>
              <w:spacing w:before="0" w:after="0"/>
              <w:jc w:val="center"/>
              <w:rPr>
                <w:rFonts w:cs="Times New Roman"/>
                <w:b/>
                <w:b/>
                <w:sz w:val="24"/>
                <w:szCs w:val="24"/>
                <w:lang w:val="uk-UA"/>
              </w:rPr>
            </w:pPr>
            <w:r>
              <w:rPr>
                <w:rFonts w:cs="Times New Roman"/>
                <w:b/>
                <w:sz w:val="24"/>
                <w:szCs w:val="24"/>
                <w:lang w:val="uk-UA"/>
              </w:rPr>
            </w:r>
          </w:p>
        </w:tc>
        <w:tc>
          <w:tcPr>
            <w:tcW w:w="1232" w:type="dxa"/>
            <w:vMerge w:val="continue"/>
            <w:tcBorders/>
          </w:tcPr>
          <w:p>
            <w:pPr>
              <w:pStyle w:val="NoSpacing"/>
              <w:widowControl w:val="false"/>
              <w:suppressAutoHyphens w:val="true"/>
              <w:spacing w:before="0" w:after="0"/>
              <w:jc w:val="center"/>
              <w:rPr>
                <w:rFonts w:cs="Times New Roman"/>
                <w:b/>
                <w:b/>
                <w:sz w:val="24"/>
                <w:szCs w:val="24"/>
                <w:lang w:val="uk-UA"/>
              </w:rPr>
            </w:pPr>
            <w:r>
              <w:rPr>
                <w:rFonts w:cs="Times New Roman"/>
                <w:b/>
                <w:sz w:val="24"/>
                <w:szCs w:val="24"/>
                <w:lang w:val="uk-UA"/>
              </w:rPr>
            </w:r>
          </w:p>
        </w:tc>
        <w:tc>
          <w:tcPr>
            <w:tcW w:w="1715" w:type="dxa"/>
            <w:vMerge w:val="continue"/>
            <w:tcBorders/>
          </w:tcPr>
          <w:p>
            <w:pPr>
              <w:pStyle w:val="NoSpacing"/>
              <w:widowControl w:val="false"/>
              <w:suppressAutoHyphens w:val="true"/>
              <w:spacing w:before="0" w:after="0"/>
              <w:jc w:val="center"/>
              <w:rPr>
                <w:rFonts w:cs="Times New Roman"/>
                <w:b/>
                <w:b/>
                <w:sz w:val="24"/>
                <w:szCs w:val="24"/>
                <w:lang w:val="uk-UA"/>
              </w:rPr>
            </w:pPr>
            <w:r>
              <w:rPr>
                <w:rFonts w:cs="Times New Roman"/>
                <w:b/>
                <w:sz w:val="24"/>
                <w:szCs w:val="24"/>
                <w:lang w:val="uk-UA"/>
              </w:rPr>
            </w:r>
          </w:p>
        </w:tc>
        <w:tc>
          <w:tcPr>
            <w:tcW w:w="2013" w:type="dxa"/>
            <w:vMerge w:val="continue"/>
            <w:tcBorders/>
          </w:tcPr>
          <w:p>
            <w:pPr>
              <w:pStyle w:val="NoSpacing"/>
              <w:widowControl w:val="false"/>
              <w:suppressAutoHyphens w:val="true"/>
              <w:spacing w:before="0" w:after="0"/>
              <w:ind w:left="-61" w:firstLine="61"/>
              <w:jc w:val="center"/>
              <w:rPr>
                <w:rFonts w:cs="Times New Roman"/>
                <w:b/>
                <w:b/>
                <w:sz w:val="24"/>
                <w:szCs w:val="24"/>
                <w:lang w:val="uk-UA"/>
              </w:rPr>
            </w:pPr>
            <w:r>
              <w:rPr>
                <w:rFonts w:cs="Times New Roman"/>
                <w:b/>
                <w:sz w:val="24"/>
                <w:szCs w:val="24"/>
                <w:lang w:val="uk-UA"/>
              </w:rPr>
            </w:r>
          </w:p>
        </w:tc>
        <w:tc>
          <w:tcPr>
            <w:tcW w:w="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eastAsia="Calibri" w:cs="Calibri"/>
                <w:kern w:val="0"/>
                <w:sz w:val="28"/>
                <w:szCs w:val="22"/>
                <w:lang w:val="ru-RU" w:eastAsia="en-US" w:bidi="ar-SA"/>
              </w:rPr>
            </w:pPr>
            <w:r>
              <w:rPr>
                <w:rFonts w:eastAsia="Calibri" w:cs="Calibri"/>
                <w:kern w:val="0"/>
                <w:sz w:val="28"/>
                <w:szCs w:val="22"/>
                <w:lang w:val="ru-RU" w:eastAsia="en-US" w:bidi="ar-SA"/>
              </w:rPr>
            </w:r>
          </w:p>
        </w:tc>
      </w:tr>
      <w:tr>
        <w:trPr>
          <w:tblHeader w:val="true"/>
        </w:trPr>
        <w:tc>
          <w:tcPr>
            <w:tcW w:w="557" w:type="dxa"/>
            <w:tcBorders/>
          </w:tcPr>
          <w:p>
            <w:pPr>
              <w:pStyle w:val="NoSpacing"/>
              <w:widowControl w:val="false"/>
              <w:suppressAutoHyphens w:val="true"/>
              <w:spacing w:before="0" w:after="0"/>
              <w:jc w:val="center"/>
              <w:rPr>
                <w:rFonts w:cs="Times New Roman"/>
                <w:b/>
                <w:b/>
                <w:sz w:val="24"/>
                <w:szCs w:val="24"/>
                <w:lang w:val="uk-UA"/>
              </w:rPr>
            </w:pPr>
            <w:r>
              <w:rPr>
                <w:rFonts w:eastAsia="Calibri" w:cs="Times New Roman"/>
                <w:b/>
                <w:kern w:val="0"/>
                <w:sz w:val="24"/>
                <w:szCs w:val="24"/>
                <w:lang w:val="uk-UA" w:eastAsia="en-US" w:bidi="ar-SA"/>
              </w:rPr>
              <w:t>1</w:t>
            </w:r>
          </w:p>
        </w:tc>
        <w:tc>
          <w:tcPr>
            <w:tcW w:w="1137" w:type="dxa"/>
            <w:gridSpan w:val="2"/>
            <w:tcBorders/>
          </w:tcPr>
          <w:p>
            <w:pPr>
              <w:pStyle w:val="NoSpacing"/>
              <w:widowControl w:val="false"/>
              <w:suppressAutoHyphens w:val="true"/>
              <w:spacing w:before="0" w:after="0"/>
              <w:jc w:val="center"/>
              <w:rPr>
                <w:rFonts w:cs="Times New Roman"/>
                <w:b/>
                <w:b/>
                <w:sz w:val="24"/>
                <w:szCs w:val="24"/>
                <w:lang w:val="uk-UA"/>
              </w:rPr>
            </w:pPr>
            <w:r>
              <w:rPr>
                <w:rFonts w:eastAsia="Calibri" w:cs="Times New Roman"/>
                <w:b/>
                <w:kern w:val="0"/>
                <w:sz w:val="24"/>
                <w:szCs w:val="24"/>
                <w:lang w:val="uk-UA" w:eastAsia="en-US" w:bidi="ar-SA"/>
              </w:rPr>
              <w:t>2</w:t>
            </w:r>
          </w:p>
        </w:tc>
        <w:tc>
          <w:tcPr>
            <w:tcW w:w="3157" w:type="dxa"/>
            <w:tcBorders/>
          </w:tcPr>
          <w:p>
            <w:pPr>
              <w:pStyle w:val="NoSpacing"/>
              <w:widowControl w:val="false"/>
              <w:suppressAutoHyphens w:val="true"/>
              <w:spacing w:before="0" w:after="0"/>
              <w:jc w:val="center"/>
              <w:rPr>
                <w:rFonts w:cs="Times New Roman"/>
                <w:b/>
                <w:b/>
                <w:sz w:val="24"/>
                <w:szCs w:val="24"/>
                <w:lang w:val="uk-UA"/>
              </w:rPr>
            </w:pPr>
            <w:r>
              <w:rPr>
                <w:rFonts w:eastAsia="Calibri" w:cs="Times New Roman"/>
                <w:b/>
                <w:kern w:val="0"/>
                <w:sz w:val="24"/>
                <w:szCs w:val="24"/>
                <w:lang w:val="uk-UA" w:eastAsia="en-US" w:bidi="ar-SA"/>
              </w:rPr>
              <w:t>3</w:t>
            </w:r>
          </w:p>
        </w:tc>
        <w:tc>
          <w:tcPr>
            <w:tcW w:w="1801" w:type="dxa"/>
            <w:tcBorders/>
          </w:tcPr>
          <w:p>
            <w:pPr>
              <w:pStyle w:val="NoSpacing"/>
              <w:widowControl w:val="false"/>
              <w:suppressAutoHyphens w:val="true"/>
              <w:spacing w:before="0" w:after="0"/>
              <w:jc w:val="center"/>
              <w:rPr>
                <w:rFonts w:cs="Times New Roman"/>
                <w:b/>
                <w:b/>
                <w:sz w:val="24"/>
                <w:szCs w:val="24"/>
                <w:lang w:val="uk-UA"/>
              </w:rPr>
            </w:pPr>
            <w:r>
              <w:rPr>
                <w:rFonts w:eastAsia="Calibri" w:cs="Times New Roman"/>
                <w:b/>
                <w:kern w:val="0"/>
                <w:sz w:val="24"/>
                <w:szCs w:val="24"/>
                <w:lang w:val="uk-UA" w:eastAsia="en-US" w:bidi="ar-SA"/>
              </w:rPr>
              <w:t>5</w:t>
            </w:r>
          </w:p>
        </w:tc>
        <w:tc>
          <w:tcPr>
            <w:tcW w:w="1351" w:type="dxa"/>
            <w:tcBorders/>
          </w:tcPr>
          <w:p>
            <w:pPr>
              <w:pStyle w:val="NoSpacing"/>
              <w:widowControl w:val="false"/>
              <w:suppressAutoHyphens w:val="true"/>
              <w:spacing w:before="0" w:after="0"/>
              <w:jc w:val="center"/>
              <w:rPr>
                <w:rFonts w:cs="Times New Roman"/>
                <w:b/>
                <w:b/>
                <w:sz w:val="24"/>
                <w:szCs w:val="24"/>
                <w:lang w:val="uk-UA"/>
              </w:rPr>
            </w:pPr>
            <w:r>
              <w:rPr>
                <w:rFonts w:eastAsia="Calibri" w:cs="Times New Roman"/>
                <w:b/>
                <w:kern w:val="0"/>
                <w:sz w:val="24"/>
                <w:szCs w:val="24"/>
                <w:lang w:val="uk-UA" w:eastAsia="en-US" w:bidi="ar-SA"/>
              </w:rPr>
              <w:t>6</w:t>
            </w:r>
          </w:p>
        </w:tc>
        <w:tc>
          <w:tcPr>
            <w:tcW w:w="1439" w:type="dxa"/>
            <w:gridSpan w:val="2"/>
            <w:tcBorders/>
          </w:tcPr>
          <w:p>
            <w:pPr>
              <w:pStyle w:val="NoSpacing"/>
              <w:widowControl w:val="false"/>
              <w:suppressAutoHyphens w:val="true"/>
              <w:spacing w:before="0" w:after="0"/>
              <w:jc w:val="center"/>
              <w:rPr>
                <w:rFonts w:cs="Times New Roman"/>
                <w:b/>
                <w:b/>
                <w:sz w:val="24"/>
                <w:szCs w:val="24"/>
                <w:lang w:val="uk-UA"/>
              </w:rPr>
            </w:pPr>
            <w:r>
              <w:rPr>
                <w:rFonts w:eastAsia="Calibri" w:cs="Times New Roman"/>
                <w:b/>
                <w:kern w:val="0"/>
                <w:sz w:val="24"/>
                <w:szCs w:val="24"/>
                <w:lang w:val="uk-UA" w:eastAsia="en-US" w:bidi="ar-SA"/>
              </w:rPr>
              <w:t>7</w:t>
            </w:r>
          </w:p>
        </w:tc>
        <w:tc>
          <w:tcPr>
            <w:tcW w:w="1465" w:type="dxa"/>
            <w:gridSpan w:val="2"/>
            <w:tcBorders/>
          </w:tcPr>
          <w:p>
            <w:pPr>
              <w:pStyle w:val="NoSpacing"/>
              <w:widowControl w:val="false"/>
              <w:suppressAutoHyphens w:val="true"/>
              <w:spacing w:before="0" w:after="0"/>
              <w:jc w:val="center"/>
              <w:rPr>
                <w:rFonts w:cs="Times New Roman"/>
                <w:b/>
                <w:b/>
                <w:sz w:val="24"/>
                <w:szCs w:val="24"/>
                <w:lang w:val="uk-UA"/>
              </w:rPr>
            </w:pPr>
            <w:r>
              <w:rPr>
                <w:rFonts w:eastAsia="Calibri" w:cs="Times New Roman"/>
                <w:b/>
                <w:kern w:val="0"/>
                <w:sz w:val="24"/>
                <w:szCs w:val="24"/>
                <w:lang w:val="uk-UA" w:eastAsia="en-US" w:bidi="ar-SA"/>
              </w:rPr>
              <w:t>8</w:t>
            </w:r>
          </w:p>
        </w:tc>
        <w:tc>
          <w:tcPr>
            <w:tcW w:w="1235" w:type="dxa"/>
            <w:gridSpan w:val="2"/>
            <w:tcBorders/>
          </w:tcPr>
          <w:p>
            <w:pPr>
              <w:pStyle w:val="NoSpacing"/>
              <w:widowControl w:val="false"/>
              <w:suppressAutoHyphens w:val="true"/>
              <w:spacing w:before="0" w:after="0"/>
              <w:jc w:val="center"/>
              <w:rPr>
                <w:rFonts w:cs="Times New Roman"/>
                <w:b/>
                <w:b/>
                <w:sz w:val="24"/>
                <w:szCs w:val="24"/>
                <w:lang w:val="uk-UA"/>
              </w:rPr>
            </w:pPr>
            <w:r>
              <w:rPr>
                <w:rFonts w:eastAsia="Calibri" w:cs="Times New Roman"/>
                <w:b/>
                <w:kern w:val="0"/>
                <w:sz w:val="24"/>
                <w:szCs w:val="24"/>
                <w:lang w:val="uk-UA" w:eastAsia="en-US" w:bidi="ar-SA"/>
              </w:rPr>
              <w:t>9</w:t>
            </w:r>
          </w:p>
        </w:tc>
        <w:tc>
          <w:tcPr>
            <w:tcW w:w="1715" w:type="dxa"/>
            <w:tcBorders/>
          </w:tcPr>
          <w:p>
            <w:pPr>
              <w:pStyle w:val="NoSpacing"/>
              <w:widowControl w:val="false"/>
              <w:suppressAutoHyphens w:val="true"/>
              <w:spacing w:before="0" w:after="0"/>
              <w:jc w:val="center"/>
              <w:rPr>
                <w:rFonts w:cs="Times New Roman"/>
                <w:b/>
                <w:b/>
                <w:sz w:val="24"/>
                <w:szCs w:val="24"/>
                <w:lang w:val="uk-UA"/>
              </w:rPr>
            </w:pPr>
            <w:r>
              <w:rPr>
                <w:rFonts w:eastAsia="Calibri" w:cs="Times New Roman"/>
                <w:b/>
                <w:kern w:val="0"/>
                <w:sz w:val="24"/>
                <w:szCs w:val="24"/>
                <w:lang w:val="uk-UA" w:eastAsia="en-US" w:bidi="ar-SA"/>
              </w:rPr>
              <w:t>10</w:t>
            </w:r>
          </w:p>
        </w:tc>
        <w:tc>
          <w:tcPr>
            <w:tcW w:w="2011" w:type="dxa"/>
            <w:tcBorders/>
          </w:tcPr>
          <w:p>
            <w:pPr>
              <w:pStyle w:val="NoSpacing"/>
              <w:widowControl w:val="false"/>
              <w:suppressAutoHyphens w:val="true"/>
              <w:spacing w:before="0" w:after="0"/>
              <w:ind w:left="-61" w:firstLine="61"/>
              <w:jc w:val="center"/>
              <w:rPr>
                <w:rFonts w:cs="Times New Roman"/>
                <w:b/>
                <w:b/>
                <w:sz w:val="24"/>
                <w:szCs w:val="24"/>
                <w:lang w:val="uk-UA"/>
              </w:rPr>
            </w:pPr>
            <w:r>
              <w:rPr>
                <w:rFonts w:eastAsia="Calibri" w:cs="Times New Roman"/>
                <w:b/>
                <w:kern w:val="0"/>
                <w:sz w:val="24"/>
                <w:szCs w:val="24"/>
                <w:lang w:val="uk-UA" w:eastAsia="en-US" w:bidi="ar-SA"/>
              </w:rPr>
              <w:t>11</w:t>
            </w:r>
          </w:p>
        </w:tc>
      </w:tr>
      <w:tr>
        <w:trPr/>
        <w:tc>
          <w:tcPr>
            <w:tcW w:w="557" w:type="dxa"/>
            <w:tcBorders/>
          </w:tcPr>
          <w:p>
            <w:pPr>
              <w:pStyle w:val="NoSpacing"/>
              <w:widowControl w:val="false"/>
              <w:suppressAutoHyphens w:val="true"/>
              <w:spacing w:before="0" w:after="0"/>
              <w:jc w:val="center"/>
              <w:rPr>
                <w:rFonts w:cs="Times New Roman"/>
                <w:sz w:val="24"/>
                <w:szCs w:val="24"/>
                <w:lang w:val="uk-UA"/>
              </w:rPr>
            </w:pPr>
            <w:r>
              <w:rPr>
                <w:rFonts w:eastAsia="Calibri" w:cs="Times New Roman"/>
                <w:kern w:val="0"/>
                <w:sz w:val="24"/>
                <w:szCs w:val="24"/>
                <w:lang w:val="uk-UA" w:eastAsia="en-US" w:bidi="ar-SA"/>
              </w:rPr>
              <w:t>1</w:t>
            </w:r>
          </w:p>
        </w:tc>
        <w:tc>
          <w:tcPr>
            <w:tcW w:w="1137" w:type="dxa"/>
            <w:gridSpan w:val="2"/>
            <w:tcBorders/>
          </w:tcPr>
          <w:p>
            <w:pPr>
              <w:pStyle w:val="NoSpacing"/>
              <w:widowControl w:val="false"/>
              <w:suppressAutoHyphens w:val="true"/>
              <w:spacing w:before="0" w:after="0"/>
              <w:jc w:val="center"/>
              <w:rPr>
                <w:lang w:val="uk-UA"/>
              </w:rPr>
            </w:pPr>
            <w:r>
              <w:rPr>
                <w:sz w:val="20"/>
                <w:szCs w:val="20"/>
                <w:lang w:val="en-US"/>
              </w:rPr>
              <w:t>22.08.2025</w:t>
            </w:r>
          </w:p>
        </w:tc>
        <w:tc>
          <w:tcPr>
            <w:tcW w:w="3157" w:type="dxa"/>
            <w:tcBorders/>
          </w:tcPr>
          <w:p>
            <w:pPr>
              <w:pStyle w:val="NoSpacing"/>
              <w:widowControl w:val="false"/>
              <w:spacing w:before="0" w:after="0"/>
              <w:jc w:val="center"/>
              <w:rPr>
                <w:rFonts w:cs="Times New Roman"/>
                <w:sz w:val="24"/>
                <w:szCs w:val="24"/>
                <w:lang w:val="uk-UA"/>
              </w:rPr>
            </w:pPr>
            <w:r>
              <w:rPr>
                <w:rFonts w:eastAsia="Calibri" w:cs="Times New Roman"/>
                <w:kern w:val="0"/>
                <w:sz w:val="24"/>
                <w:szCs w:val="24"/>
                <w:lang w:val="uk-UA" w:eastAsia="en-US" w:bidi="ar-SA"/>
              </w:rPr>
              <w:t>Тренінг на тему “Викривач: правовий статус” (наказ Головного управління від 18.08.2025 № 295 “Про проведення навчання”)</w:t>
            </w:r>
          </w:p>
        </w:tc>
        <w:tc>
          <w:tcPr>
            <w:tcW w:w="1801" w:type="dxa"/>
            <w:tcBorders/>
          </w:tcPr>
          <w:p>
            <w:pPr>
              <w:pStyle w:val="NoSpacing"/>
              <w:widowControl w:val="false"/>
              <w:suppressAutoHyphens w:val="true"/>
              <w:spacing w:before="0" w:after="0"/>
              <w:jc w:val="center"/>
              <w:rPr>
                <w:rFonts w:ascii="Times New Roman" w:hAnsi="Times New Roman" w:eastAsia="Calibri" w:cs="Times New Roman"/>
                <w:kern w:val="0"/>
                <w:sz w:val="24"/>
                <w:szCs w:val="24"/>
                <w:lang w:val="uk-UA" w:eastAsia="en-US" w:bidi="ar-SA"/>
              </w:rPr>
            </w:pPr>
            <w:r>
              <w:rPr>
                <w:rFonts w:eastAsia="Calibri" w:cs="Times New Roman"/>
                <w:kern w:val="0"/>
                <w:sz w:val="24"/>
                <w:szCs w:val="24"/>
                <w:lang w:val="uk-UA" w:eastAsia="en-US" w:bidi="ar-SA"/>
              </w:rPr>
              <w:t>Відділ з питань запобігання та виявлення корупції Головного управління</w:t>
            </w:r>
          </w:p>
        </w:tc>
        <w:tc>
          <w:tcPr>
            <w:tcW w:w="1351" w:type="dxa"/>
            <w:tcBorders/>
          </w:tcPr>
          <w:p>
            <w:pPr>
              <w:pStyle w:val="NoSpacing"/>
              <w:widowControl w:val="false"/>
              <w:suppressAutoHyphens w:val="true"/>
              <w:spacing w:before="0" w:after="0"/>
              <w:jc w:val="center"/>
              <w:rPr>
                <w:lang w:val="en-US"/>
              </w:rPr>
            </w:pPr>
            <w:r>
              <w:rPr>
                <w:rFonts w:eastAsia="Calibri" w:cs="Times New Roman"/>
                <w:kern w:val="0"/>
                <w:sz w:val="24"/>
                <w:szCs w:val="24"/>
                <w:lang w:val="en-US" w:eastAsia="en-US" w:bidi="ar-SA"/>
              </w:rPr>
              <w:t xml:space="preserve">1 </w:t>
            </w:r>
            <w:r>
              <w:rPr>
                <w:rFonts w:eastAsia="Calibri" w:cs="Times New Roman"/>
                <w:kern w:val="0"/>
                <w:sz w:val="24"/>
                <w:szCs w:val="24"/>
                <w:lang w:val="uk-UA" w:eastAsia="en-US" w:bidi="ar-SA"/>
              </w:rPr>
              <w:t>година</w:t>
            </w:r>
          </w:p>
        </w:tc>
        <w:tc>
          <w:tcPr>
            <w:tcW w:w="1439" w:type="dxa"/>
            <w:gridSpan w:val="2"/>
            <w:tcBorders/>
          </w:tcPr>
          <w:p>
            <w:pPr>
              <w:pStyle w:val="NoSpacing"/>
              <w:widowControl w:val="false"/>
              <w:suppressAutoHyphens w:val="true"/>
              <w:spacing w:before="0" w:after="0"/>
              <w:jc w:val="center"/>
              <w:rPr>
                <w:rFonts w:ascii="Times New Roman" w:hAnsi="Times New Roman" w:eastAsia="Calibri" w:cs="Times New Roman"/>
                <w:kern w:val="0"/>
                <w:sz w:val="24"/>
                <w:szCs w:val="24"/>
                <w:lang w:val="uk-UA" w:eastAsia="en-US" w:bidi="ar-SA"/>
              </w:rPr>
            </w:pPr>
            <w:r>
              <w:rPr>
                <w:rFonts w:eastAsia="Calibri" w:cs="Times New Roman"/>
                <w:kern w:val="0"/>
                <w:sz w:val="24"/>
                <w:szCs w:val="24"/>
                <w:lang w:val="uk-UA" w:eastAsia="en-US" w:bidi="ar-SA"/>
              </w:rPr>
              <w:t>30 хвилин</w:t>
            </w:r>
          </w:p>
        </w:tc>
        <w:tc>
          <w:tcPr>
            <w:tcW w:w="1465" w:type="dxa"/>
            <w:gridSpan w:val="2"/>
            <w:tcBorders/>
          </w:tcPr>
          <w:p>
            <w:pPr>
              <w:pStyle w:val="NoSpacing"/>
              <w:widowControl w:val="false"/>
              <w:suppressAutoHyphens w:val="true"/>
              <w:spacing w:before="0" w:after="0"/>
              <w:jc w:val="center"/>
              <w:rPr>
                <w:rFonts w:ascii="Times New Roman" w:hAnsi="Times New Roman" w:eastAsia="Calibri" w:cs="Times New Roman"/>
                <w:kern w:val="0"/>
                <w:sz w:val="24"/>
                <w:szCs w:val="24"/>
                <w:lang w:val="uk-UA" w:eastAsia="en-US" w:bidi="ar-SA"/>
              </w:rPr>
            </w:pPr>
            <w:r>
              <w:rPr>
                <w:rFonts w:eastAsia="Calibri" w:cs="Times New Roman"/>
                <w:kern w:val="0"/>
                <w:sz w:val="24"/>
                <w:szCs w:val="24"/>
                <w:lang w:val="uk-UA" w:eastAsia="en-US" w:bidi="ar-SA"/>
              </w:rPr>
              <w:t>Працівники Головного управління</w:t>
            </w:r>
          </w:p>
        </w:tc>
        <w:tc>
          <w:tcPr>
            <w:tcW w:w="1235" w:type="dxa"/>
            <w:gridSpan w:val="2"/>
            <w:tcBorders/>
          </w:tcPr>
          <w:p>
            <w:pPr>
              <w:pStyle w:val="NoSpacing"/>
              <w:widowControl w:val="false"/>
              <w:suppressAutoHyphens w:val="true"/>
              <w:spacing w:before="0" w:after="0"/>
              <w:jc w:val="center"/>
              <w:rPr>
                <w:rFonts w:ascii="Times New Roman" w:hAnsi="Times New Roman" w:eastAsia="Calibri" w:cs="Times New Roman"/>
                <w:kern w:val="0"/>
                <w:sz w:val="24"/>
                <w:szCs w:val="24"/>
                <w:lang w:val="uk-UA" w:eastAsia="en-US" w:bidi="ar-SA"/>
              </w:rPr>
            </w:pPr>
            <w:r>
              <w:rPr>
                <w:rFonts w:eastAsia="Calibri" w:cs="Times New Roman"/>
                <w:kern w:val="0"/>
                <w:sz w:val="24"/>
                <w:szCs w:val="24"/>
                <w:lang w:val="uk-UA" w:eastAsia="en-US" w:bidi="ar-SA"/>
              </w:rPr>
              <w:t>85</w:t>
            </w:r>
          </w:p>
        </w:tc>
        <w:tc>
          <w:tcPr>
            <w:tcW w:w="1715" w:type="dxa"/>
            <w:tcBorders/>
          </w:tcPr>
          <w:p>
            <w:pPr>
              <w:pStyle w:val="NoSpacing"/>
              <w:widowControl w:val="false"/>
              <w:suppressAutoHyphens w:val="true"/>
              <w:spacing w:before="0" w:after="0"/>
              <w:jc w:val="center"/>
              <w:rPr>
                <w:rFonts w:ascii="Times New Roman" w:hAnsi="Times New Roman" w:eastAsia="Calibri" w:cs="Times New Roman"/>
                <w:kern w:val="0"/>
                <w:sz w:val="24"/>
                <w:szCs w:val="24"/>
                <w:lang w:val="uk-UA" w:eastAsia="en-US" w:bidi="ar-SA"/>
              </w:rPr>
            </w:pPr>
            <w:r>
              <w:rPr>
                <w:rFonts w:eastAsia="Calibri" w:cs="Times New Roman"/>
                <w:kern w:val="0"/>
                <w:sz w:val="24"/>
                <w:szCs w:val="24"/>
                <w:lang w:val="uk-UA" w:eastAsia="en-US" w:bidi="ar-SA"/>
              </w:rPr>
              <w:t>Тестування та опитування (анкетування)</w:t>
            </w:r>
          </w:p>
        </w:tc>
        <w:tc>
          <w:tcPr>
            <w:tcW w:w="2011" w:type="dxa"/>
            <w:tcBorders/>
          </w:tcPr>
          <w:p>
            <w:pPr>
              <w:pStyle w:val="NoSpacing"/>
              <w:widowControl w:val="false"/>
              <w:suppressAutoHyphens w:val="true"/>
              <w:spacing w:before="0" w:after="0"/>
              <w:jc w:val="both"/>
              <w:rPr>
                <w:rFonts w:ascii="Times New Roman" w:hAnsi="Times New Roman" w:eastAsia="Calibri" w:cs="Times New Roman"/>
                <w:kern w:val="0"/>
                <w:sz w:val="24"/>
                <w:szCs w:val="24"/>
                <w:lang w:val="uk-UA" w:eastAsia="en-US" w:bidi="ar-SA"/>
              </w:rPr>
            </w:pPr>
            <w:r>
              <w:rPr>
                <w:rFonts w:eastAsia="Calibri" w:cs="Times New Roman"/>
                <w:kern w:val="0"/>
                <w:sz w:val="24"/>
                <w:szCs w:val="24"/>
                <w:lang w:val="uk-UA" w:eastAsia="en-US" w:bidi="ar-SA"/>
              </w:rPr>
              <w:t xml:space="preserve">Проведено навчальний захід та відповідні тестування та опитування (анкетування). Результати навчання проаналізовано та надані </w:t>
            </w:r>
            <w:r>
              <w:rPr>
                <w:rFonts w:eastAsia="Calibri" w:cs="Times New Roman"/>
                <w:kern w:val="0"/>
                <w:sz w:val="24"/>
                <w:szCs w:val="24"/>
                <w:lang w:val="uk-UA" w:eastAsia="en-US" w:bidi="ar-SA"/>
              </w:rPr>
              <w:t xml:space="preserve">начальнику Головного управління </w:t>
            </w:r>
            <w:r>
              <w:rPr>
                <w:rFonts w:eastAsia="Calibri" w:cs="Times New Roman"/>
                <w:kern w:val="0"/>
                <w:sz w:val="24"/>
                <w:szCs w:val="24"/>
                <w:lang w:val="uk-UA" w:eastAsia="en-US" w:bidi="ar-SA"/>
              </w:rPr>
              <w:t xml:space="preserve">службовою запискою від 02.09.2025 № 1850/07-16. Розміщено інформацію про проведений захід на офіційних  сторінках Головного управління вебпорталу та на сторінці  </w:t>
            </w:r>
            <w:r>
              <w:rPr>
                <w:rFonts w:eastAsia="Calibri" w:cs="Times New Roman"/>
                <w:kern w:val="0"/>
                <w:sz w:val="24"/>
                <w:szCs w:val="24"/>
                <w:lang w:val="en-US" w:eastAsia="en-US" w:bidi="ar-SA"/>
              </w:rPr>
              <w:t>Facebook (</w:t>
            </w:r>
            <w:r>
              <w:rPr>
                <w:rFonts w:eastAsia="Calibri" w:cs="Times New Roman"/>
                <w:kern w:val="0"/>
                <w:sz w:val="24"/>
                <w:szCs w:val="24"/>
                <w:lang w:val="uk-UA" w:eastAsia="en-US" w:bidi="ar-SA"/>
              </w:rPr>
              <w:t>службова записка від 25.08.2025 № 326/14-16 щодо розміщення інформації). Інформацію розміщено за посиланням</w:t>
            </w:r>
            <w:r>
              <w:rPr>
                <w:rStyle w:val="Style17"/>
                <w:rFonts w:eastAsia="Calibri" w:cs="Times New Roman"/>
                <w:kern w:val="0"/>
                <w:sz w:val="24"/>
                <w:szCs w:val="24"/>
                <w:lang w:val="uk-UA" w:eastAsia="en-US" w:bidi="ar-SA"/>
              </w:rPr>
              <w:t xml:space="preserve"> https://www.pfu.gov.ua/lg/366904-pravovyj-zahyst-vykryvachiv-klyuchovi-aspekty-dlya-pratsivnykiv-pensijnoyi-sluzhby-luganshhyny/</w:t>
            </w:r>
            <w:r>
              <w:rPr>
                <w:rFonts w:eastAsia="Calibri" w:cs="Times New Roman"/>
                <w:kern w:val="0"/>
                <w:sz w:val="24"/>
                <w:szCs w:val="24"/>
                <w:lang w:val="uk-UA" w:eastAsia="en-US" w:bidi="ar-SA"/>
              </w:rPr>
              <w:t xml:space="preserve"> </w:t>
            </w:r>
          </w:p>
        </w:tc>
      </w:tr>
      <w:tr>
        <w:trPr/>
        <w:tc>
          <w:tcPr>
            <w:tcW w:w="557" w:type="dxa"/>
            <w:tcBorders>
              <w:top w:val="nil"/>
            </w:tcBorders>
          </w:tcPr>
          <w:p>
            <w:pPr>
              <w:pStyle w:val="NoSpacing"/>
              <w:widowControl w:val="false"/>
              <w:suppressAutoHyphens w:val="true"/>
              <w:spacing w:before="0" w:after="0"/>
              <w:jc w:val="center"/>
              <w:rPr>
                <w:rFonts w:cs="Times New Roman"/>
                <w:sz w:val="24"/>
                <w:szCs w:val="24"/>
                <w:lang w:val="uk-UA"/>
              </w:rPr>
            </w:pPr>
            <w:r>
              <w:rPr>
                <w:rFonts w:cs="Times New Roman"/>
                <w:sz w:val="24"/>
                <w:szCs w:val="24"/>
                <w:lang w:val="uk-UA"/>
              </w:rPr>
              <w:t>2</w:t>
            </w:r>
          </w:p>
        </w:tc>
        <w:tc>
          <w:tcPr>
            <w:tcW w:w="1137" w:type="dxa"/>
            <w:gridSpan w:val="2"/>
            <w:tcBorders>
              <w:top w:val="nil"/>
            </w:tcBorders>
          </w:tcPr>
          <w:p>
            <w:pPr>
              <w:pStyle w:val="NoSpacing"/>
              <w:widowControl w:val="false"/>
              <w:suppressAutoHyphens w:val="true"/>
              <w:spacing w:before="0" w:after="0"/>
              <w:jc w:val="center"/>
              <w:rPr>
                <w:rFonts w:ascii="Times New Roman" w:hAnsi="Times New Roman" w:eastAsia="Calibri" w:cs="Calibri" w:cstheme="minorHAnsi" w:eastAsiaTheme="minorHAnsi"/>
                <w:color w:val="auto"/>
                <w:kern w:val="0"/>
                <w:sz w:val="20"/>
                <w:szCs w:val="20"/>
                <w:lang w:val="uk-UA" w:eastAsia="en-US" w:bidi="ar-SA"/>
              </w:rPr>
            </w:pPr>
            <w:r>
              <w:rPr>
                <w:rFonts w:eastAsia="Calibri" w:cs="Calibri" w:cstheme="minorHAnsi" w:eastAsiaTheme="minorHAnsi"/>
                <w:color w:val="auto"/>
                <w:kern w:val="0"/>
                <w:sz w:val="20"/>
                <w:szCs w:val="20"/>
                <w:lang w:val="uk-UA" w:eastAsia="en-US" w:bidi="ar-SA"/>
              </w:rPr>
              <w:t>15.09.2025</w:t>
            </w:r>
          </w:p>
        </w:tc>
        <w:tc>
          <w:tcPr>
            <w:tcW w:w="3157" w:type="dxa"/>
            <w:tcBorders>
              <w:top w:val="nil"/>
            </w:tcBorders>
          </w:tcPr>
          <w:p>
            <w:pPr>
              <w:pStyle w:val="NoSpacing"/>
              <w:widowControl w:val="false"/>
              <w:spacing w:before="0" w:after="0"/>
              <w:jc w:val="center"/>
              <w:rPr>
                <w:rFonts w:cs="Times New Roman"/>
                <w:sz w:val="24"/>
                <w:szCs w:val="24"/>
                <w:lang w:val="uk-UA"/>
              </w:rPr>
            </w:pPr>
            <w:r>
              <w:rPr>
                <w:rFonts w:eastAsia="Calibri" w:cs="Times New Roman"/>
                <w:kern w:val="0"/>
                <w:sz w:val="24"/>
                <w:szCs w:val="24"/>
                <w:lang w:val="uk-UA" w:eastAsia="en-US" w:bidi="ar-SA"/>
              </w:rPr>
              <w:t>Тренінг на тему “Викривач: правовий статус” (наказ Головного управління від 12.09.2025 № 455-О “Про проведення навчання”)</w:t>
            </w:r>
          </w:p>
        </w:tc>
        <w:tc>
          <w:tcPr>
            <w:tcW w:w="1801" w:type="dxa"/>
            <w:tcBorders>
              <w:top w:val="nil"/>
            </w:tcBorders>
          </w:tcPr>
          <w:p>
            <w:pPr>
              <w:pStyle w:val="NoSpacing"/>
              <w:widowControl w:val="false"/>
              <w:suppressAutoHyphens w:val="true"/>
              <w:spacing w:before="0" w:after="0"/>
              <w:jc w:val="center"/>
              <w:rPr>
                <w:rFonts w:ascii="Times New Roman" w:hAnsi="Times New Roman" w:eastAsia="Calibri" w:cs="Times New Roman"/>
                <w:kern w:val="0"/>
                <w:sz w:val="24"/>
                <w:szCs w:val="24"/>
                <w:lang w:val="uk-UA" w:eastAsia="en-US" w:bidi="ar-SA"/>
              </w:rPr>
            </w:pPr>
            <w:r>
              <w:rPr>
                <w:rFonts w:eastAsia="Calibri" w:cs="Times New Roman"/>
                <w:kern w:val="0"/>
                <w:sz w:val="24"/>
                <w:szCs w:val="24"/>
                <w:lang w:val="uk-UA" w:eastAsia="en-US" w:bidi="ar-SA"/>
              </w:rPr>
              <w:t>Відділ з питань запобігання та виявлення корупції Головного управління</w:t>
            </w:r>
          </w:p>
        </w:tc>
        <w:tc>
          <w:tcPr>
            <w:tcW w:w="1351" w:type="dxa"/>
            <w:tcBorders>
              <w:right w:val="nil"/>
            </w:tcBorders>
          </w:tcPr>
          <w:p>
            <w:pPr>
              <w:pStyle w:val="NoSpacing"/>
              <w:widowControl w:val="false"/>
              <w:suppressAutoHyphens w:val="true"/>
              <w:spacing w:before="0" w:after="0"/>
              <w:jc w:val="center"/>
              <w:rPr>
                <w:rFonts w:ascii="Times New Roman" w:hAnsi="Times New Roman" w:eastAsia="Calibri" w:cs="Times New Roman" w:eastAsiaTheme="minorHAnsi"/>
                <w:color w:val="auto"/>
                <w:kern w:val="0"/>
                <w:sz w:val="24"/>
                <w:szCs w:val="24"/>
                <w:lang w:val="uk-UA" w:eastAsia="en-US" w:bidi="ar-SA"/>
              </w:rPr>
            </w:pPr>
            <w:r>
              <w:rPr>
                <w:rFonts w:eastAsia="Calibri" w:cs="Times New Roman" w:eastAsiaTheme="minorHAnsi"/>
                <w:color w:val="auto"/>
                <w:kern w:val="0"/>
                <w:sz w:val="24"/>
                <w:szCs w:val="24"/>
                <w:lang w:val="uk-UA" w:eastAsia="en-US" w:bidi="ar-SA"/>
              </w:rPr>
              <w:t>1 година</w:t>
            </w:r>
          </w:p>
        </w:tc>
        <w:tc>
          <w:tcPr>
            <w:tcW w:w="1439" w:type="dxa"/>
            <w:gridSpan w:val="2"/>
            <w:tcBorders/>
          </w:tcPr>
          <w:p>
            <w:pPr>
              <w:pStyle w:val="NoSpacing"/>
              <w:widowControl w:val="false"/>
              <w:suppressAutoHyphens w:val="true"/>
              <w:spacing w:before="0" w:after="0"/>
              <w:jc w:val="center"/>
              <w:rPr>
                <w:rFonts w:ascii="Times New Roman" w:hAnsi="Times New Roman" w:eastAsia="Calibri" w:cs="Times New Roman"/>
                <w:kern w:val="0"/>
                <w:sz w:val="24"/>
                <w:szCs w:val="24"/>
                <w:lang w:val="uk-UA" w:eastAsia="en-US" w:bidi="ar-SA"/>
              </w:rPr>
            </w:pPr>
            <w:r>
              <w:rPr>
                <w:rFonts w:eastAsia="Calibri" w:cs="Times New Roman"/>
                <w:kern w:val="0"/>
                <w:sz w:val="24"/>
                <w:szCs w:val="24"/>
                <w:lang w:val="uk-UA" w:eastAsia="en-US" w:bidi="ar-SA"/>
              </w:rPr>
              <w:t>30 хвилин.</w:t>
            </w:r>
          </w:p>
        </w:tc>
        <w:tc>
          <w:tcPr>
            <w:tcW w:w="1465" w:type="dxa"/>
            <w:gridSpan w:val="2"/>
            <w:tcBorders>
              <w:top w:val="nil"/>
            </w:tcBorders>
          </w:tcPr>
          <w:p>
            <w:pPr>
              <w:pStyle w:val="NoSpacing"/>
              <w:widowControl w:val="false"/>
              <w:suppressAutoHyphens w:val="true"/>
              <w:spacing w:before="0" w:after="0"/>
              <w:jc w:val="center"/>
              <w:rPr>
                <w:rFonts w:ascii="Times New Roman" w:hAnsi="Times New Roman" w:eastAsia="Calibri" w:cs="Times New Roman"/>
                <w:kern w:val="0"/>
                <w:sz w:val="24"/>
                <w:szCs w:val="24"/>
                <w:lang w:val="uk-UA" w:eastAsia="en-US" w:bidi="ar-SA"/>
              </w:rPr>
            </w:pPr>
            <w:r>
              <w:rPr>
                <w:rFonts w:eastAsia="Calibri" w:cs="Times New Roman"/>
                <w:kern w:val="0"/>
                <w:sz w:val="24"/>
                <w:szCs w:val="24"/>
                <w:lang w:val="uk-UA" w:eastAsia="en-US" w:bidi="ar-SA"/>
              </w:rPr>
              <w:t>Працівники Головного управління</w:t>
            </w:r>
          </w:p>
        </w:tc>
        <w:tc>
          <w:tcPr>
            <w:tcW w:w="1235" w:type="dxa"/>
            <w:gridSpan w:val="2"/>
            <w:tcBorders>
              <w:top w:val="nil"/>
            </w:tcBorders>
          </w:tcPr>
          <w:p>
            <w:pPr>
              <w:pStyle w:val="NoSpacing"/>
              <w:widowControl w:val="false"/>
              <w:suppressAutoHyphens w:val="true"/>
              <w:spacing w:before="0" w:after="0"/>
              <w:jc w:val="center"/>
              <w:rPr>
                <w:rFonts w:ascii="Times New Roman" w:hAnsi="Times New Roman" w:eastAsia="Calibri" w:cs="Times New Roman"/>
                <w:kern w:val="0"/>
                <w:sz w:val="24"/>
                <w:szCs w:val="24"/>
                <w:lang w:val="uk-UA" w:eastAsia="en-US" w:bidi="ar-SA"/>
              </w:rPr>
            </w:pPr>
            <w:r>
              <w:rPr>
                <w:rFonts w:eastAsia="Calibri" w:cs="Times New Roman"/>
                <w:kern w:val="0"/>
                <w:sz w:val="24"/>
                <w:szCs w:val="24"/>
                <w:lang w:val="uk-UA" w:eastAsia="en-US" w:bidi="ar-SA"/>
              </w:rPr>
              <w:t>176</w:t>
            </w:r>
          </w:p>
        </w:tc>
        <w:tc>
          <w:tcPr>
            <w:tcW w:w="1715" w:type="dxa"/>
            <w:tcBorders>
              <w:top w:val="nil"/>
            </w:tcBorders>
          </w:tcPr>
          <w:p>
            <w:pPr>
              <w:pStyle w:val="NoSpacing"/>
              <w:widowControl w:val="false"/>
              <w:suppressAutoHyphens w:val="true"/>
              <w:spacing w:before="0" w:after="0"/>
              <w:jc w:val="center"/>
              <w:rPr>
                <w:rFonts w:ascii="Times New Roman" w:hAnsi="Times New Roman" w:eastAsia="Calibri" w:cs="Times New Roman"/>
                <w:kern w:val="0"/>
                <w:sz w:val="24"/>
                <w:szCs w:val="24"/>
                <w:lang w:val="uk-UA" w:eastAsia="en-US" w:bidi="ar-SA"/>
              </w:rPr>
            </w:pPr>
            <w:r>
              <w:rPr>
                <w:rFonts w:eastAsia="Calibri" w:cs="Times New Roman"/>
                <w:kern w:val="0"/>
                <w:sz w:val="24"/>
                <w:szCs w:val="24"/>
                <w:lang w:val="uk-UA" w:eastAsia="en-US" w:bidi="ar-SA"/>
              </w:rPr>
              <w:t>Тестування та опитування (анкетування)</w:t>
            </w:r>
          </w:p>
        </w:tc>
        <w:tc>
          <w:tcPr>
            <w:tcW w:w="2011" w:type="dxa"/>
            <w:tcBorders>
              <w:top w:val="nil"/>
            </w:tcBorders>
          </w:tcPr>
          <w:p>
            <w:pPr>
              <w:pStyle w:val="NoSpacing"/>
              <w:widowControl w:val="false"/>
              <w:suppressAutoHyphens w:val="true"/>
              <w:spacing w:before="0" w:after="0"/>
              <w:jc w:val="both"/>
              <w:rPr>
                <w:rFonts w:ascii="Times New Roman" w:hAnsi="Times New Roman" w:eastAsia="Calibri" w:cs="Times New Roman"/>
                <w:kern w:val="0"/>
                <w:sz w:val="24"/>
                <w:szCs w:val="24"/>
                <w:lang w:val="uk-UA" w:eastAsia="en-US" w:bidi="ar-SA"/>
              </w:rPr>
            </w:pPr>
            <w:r>
              <w:rPr>
                <w:rFonts w:eastAsia="Calibri" w:cs="Times New Roman"/>
                <w:kern w:val="0"/>
                <w:sz w:val="24"/>
                <w:szCs w:val="24"/>
                <w:lang w:val="uk-UA" w:eastAsia="en-US" w:bidi="ar-SA"/>
              </w:rPr>
              <w:t xml:space="preserve">Проведено навчальний захід та відповідні тестування та опитування (анкетування). Результати навчання проаналізовано та надані </w:t>
            </w:r>
            <w:r>
              <w:rPr>
                <w:rFonts w:eastAsia="Calibri" w:cs="Times New Roman"/>
                <w:kern w:val="0"/>
                <w:sz w:val="24"/>
                <w:szCs w:val="24"/>
                <w:lang w:val="uk-UA" w:eastAsia="en-US" w:bidi="ar-SA"/>
              </w:rPr>
              <w:t xml:space="preserve">начальнику Головного управління </w:t>
            </w:r>
            <w:r>
              <w:rPr>
                <w:rFonts w:eastAsia="Calibri" w:cs="Times New Roman"/>
                <w:kern w:val="0"/>
                <w:sz w:val="24"/>
                <w:szCs w:val="24"/>
                <w:lang w:val="uk-UA" w:eastAsia="en-US" w:bidi="ar-SA"/>
              </w:rPr>
              <w:t>службовою запискою від 18.09.2025 № 2070/07-16</w:t>
            </w:r>
          </w:p>
        </w:tc>
      </w:tr>
      <w:tr>
        <w:trPr/>
        <w:tc>
          <w:tcPr>
            <w:tcW w:w="557" w:type="dxa"/>
            <w:tcBorders>
              <w:top w:val="nil"/>
            </w:tcBorders>
          </w:tcPr>
          <w:p>
            <w:pPr>
              <w:pStyle w:val="NoSpacing"/>
              <w:widowControl w:val="false"/>
              <w:suppressAutoHyphens w:val="true"/>
              <w:spacing w:before="0" w:after="0"/>
              <w:jc w:val="center"/>
              <w:rPr>
                <w:rFonts w:cs="Times New Roman"/>
                <w:sz w:val="24"/>
                <w:szCs w:val="24"/>
                <w:lang w:val="uk-UA"/>
              </w:rPr>
            </w:pPr>
            <w:r>
              <w:rPr>
                <w:rFonts w:cs="Times New Roman"/>
                <w:sz w:val="24"/>
                <w:szCs w:val="24"/>
                <w:lang w:val="uk-UA"/>
              </w:rPr>
              <w:t>3</w:t>
            </w:r>
          </w:p>
        </w:tc>
        <w:tc>
          <w:tcPr>
            <w:tcW w:w="1137" w:type="dxa"/>
            <w:gridSpan w:val="2"/>
            <w:tcBorders>
              <w:top w:val="nil"/>
            </w:tcBorders>
          </w:tcPr>
          <w:p>
            <w:pPr>
              <w:pStyle w:val="NoSpacing"/>
              <w:widowControl w:val="false"/>
              <w:suppressAutoHyphens w:val="true"/>
              <w:spacing w:before="0" w:after="0"/>
              <w:jc w:val="center"/>
              <w:rPr>
                <w:rFonts w:ascii="Times New Roman" w:hAnsi="Times New Roman" w:eastAsia="Calibri" w:cs="Calibri" w:cstheme="minorHAnsi" w:eastAsiaTheme="minorHAnsi"/>
                <w:color w:val="auto"/>
                <w:kern w:val="0"/>
                <w:sz w:val="20"/>
                <w:szCs w:val="20"/>
                <w:lang w:val="uk-UA" w:eastAsia="en-US" w:bidi="ar-SA"/>
              </w:rPr>
            </w:pPr>
            <w:r>
              <w:rPr>
                <w:rFonts w:eastAsia="Calibri" w:cs="Calibri" w:cstheme="minorHAnsi" w:eastAsiaTheme="minorHAnsi"/>
                <w:color w:val="auto"/>
                <w:kern w:val="0"/>
                <w:sz w:val="20"/>
                <w:szCs w:val="20"/>
                <w:lang w:val="uk-UA" w:eastAsia="en-US" w:bidi="ar-SA"/>
              </w:rPr>
              <w:t>27.10.2025</w:t>
            </w:r>
          </w:p>
        </w:tc>
        <w:tc>
          <w:tcPr>
            <w:tcW w:w="3157" w:type="dxa"/>
            <w:tcBorders>
              <w:top w:val="nil"/>
            </w:tcBorders>
          </w:tcPr>
          <w:p>
            <w:pPr>
              <w:pStyle w:val="NoSpacing"/>
              <w:widowControl w:val="false"/>
              <w:spacing w:before="0" w:after="0"/>
              <w:jc w:val="center"/>
              <w:rPr>
                <w:rFonts w:ascii="Times New Roman" w:hAnsi="Times New Roman" w:eastAsia="Calibri" w:cs="Times New Roman" w:eastAsiaTheme="minorHAnsi"/>
                <w:color w:val="auto"/>
                <w:kern w:val="0"/>
                <w:sz w:val="24"/>
                <w:szCs w:val="24"/>
                <w:lang w:val="uk-UA" w:eastAsia="en-US" w:bidi="ar-SA"/>
              </w:rPr>
            </w:pPr>
            <w:r>
              <w:rPr>
                <w:rFonts w:eastAsia="Calibri" w:cs="Times New Roman" w:eastAsiaTheme="minorHAnsi"/>
                <w:color w:val="auto"/>
                <w:kern w:val="0"/>
                <w:sz w:val="24"/>
                <w:szCs w:val="24"/>
                <w:lang w:val="uk-UA" w:eastAsia="en-US" w:bidi="ar-SA"/>
              </w:rPr>
              <w:t>Лекція на тему</w:t>
            </w:r>
          </w:p>
          <w:p>
            <w:pPr>
              <w:pStyle w:val="NoSpacing"/>
              <w:widowControl w:val="false"/>
              <w:spacing w:before="0" w:after="0"/>
              <w:jc w:val="center"/>
              <w:rPr>
                <w:rFonts w:ascii="Times New Roman" w:hAnsi="Times New Roman" w:eastAsia="Calibri" w:cs="Times New Roman" w:eastAsiaTheme="minorHAnsi"/>
                <w:color w:val="auto"/>
                <w:kern w:val="0"/>
                <w:sz w:val="24"/>
                <w:szCs w:val="24"/>
                <w:lang w:val="uk-UA" w:eastAsia="en-US" w:bidi="ar-SA"/>
              </w:rPr>
            </w:pPr>
            <w:r>
              <w:rPr>
                <w:rFonts w:eastAsia="Calibri" w:cs="Times New Roman" w:eastAsiaTheme="minorHAnsi"/>
                <w:color w:val="auto"/>
                <w:kern w:val="0"/>
                <w:sz w:val="24"/>
                <w:szCs w:val="24"/>
                <w:lang w:val="uk-UA" w:eastAsia="en-US" w:bidi="ar-SA"/>
              </w:rPr>
              <w:t>“</w:t>
            </w:r>
            <w:r>
              <w:rPr>
                <w:rFonts w:eastAsia="Calibri" w:cs="Times New Roman" w:eastAsiaTheme="minorHAnsi"/>
                <w:color w:val="auto"/>
                <w:kern w:val="0"/>
                <w:sz w:val="24"/>
                <w:szCs w:val="24"/>
                <w:lang w:val="uk-UA" w:eastAsia="en-US" w:bidi="ar-SA"/>
              </w:rPr>
              <w:t>Права та гарантії захисту викривача” (наказ Головного управління від 22.10.2025 № 360 “Про проведення навчання”)</w:t>
            </w:r>
          </w:p>
        </w:tc>
        <w:tc>
          <w:tcPr>
            <w:tcW w:w="1801" w:type="dxa"/>
            <w:tcBorders>
              <w:top w:val="nil"/>
            </w:tcBorders>
          </w:tcPr>
          <w:p>
            <w:pPr>
              <w:pStyle w:val="NoSpacing"/>
              <w:widowControl w:val="false"/>
              <w:suppressAutoHyphens w:val="true"/>
              <w:spacing w:before="0" w:after="0"/>
              <w:jc w:val="center"/>
              <w:rPr>
                <w:rFonts w:ascii="Times New Roman" w:hAnsi="Times New Roman" w:eastAsia="Calibri" w:cs="Times New Roman" w:eastAsiaTheme="minorHAnsi"/>
                <w:color w:val="auto"/>
                <w:kern w:val="0"/>
                <w:sz w:val="24"/>
                <w:szCs w:val="24"/>
                <w:lang w:val="uk-UA" w:eastAsia="en-US" w:bidi="ar-SA"/>
              </w:rPr>
            </w:pPr>
            <w:r>
              <w:rPr>
                <w:rFonts w:eastAsia="Calibri" w:cs="Times New Roman" w:eastAsiaTheme="minorHAnsi"/>
                <w:color w:val="auto"/>
                <w:kern w:val="0"/>
                <w:sz w:val="24"/>
                <w:szCs w:val="24"/>
                <w:lang w:val="uk-UA" w:eastAsia="en-US" w:bidi="ar-SA"/>
              </w:rPr>
              <w:t>Відділ з питань запобігання та виявлення корупції Головного управління</w:t>
            </w:r>
          </w:p>
        </w:tc>
        <w:tc>
          <w:tcPr>
            <w:tcW w:w="1351" w:type="dxa"/>
            <w:tcBorders>
              <w:top w:val="nil"/>
              <w:right w:val="nil"/>
            </w:tcBorders>
          </w:tcPr>
          <w:p>
            <w:pPr>
              <w:pStyle w:val="NoSpacing"/>
              <w:widowControl w:val="false"/>
              <w:suppressAutoHyphens w:val="true"/>
              <w:spacing w:before="0" w:after="0"/>
              <w:jc w:val="center"/>
              <w:rPr>
                <w:rFonts w:ascii="Times New Roman" w:hAnsi="Times New Roman" w:eastAsia="Calibri" w:cs="Times New Roman" w:eastAsiaTheme="minorHAnsi"/>
                <w:color w:val="auto"/>
                <w:kern w:val="0"/>
                <w:sz w:val="24"/>
                <w:szCs w:val="24"/>
                <w:lang w:val="uk-UA" w:eastAsia="en-US" w:bidi="ar-SA"/>
              </w:rPr>
            </w:pPr>
            <w:r>
              <w:rPr>
                <w:rFonts w:eastAsia="Calibri" w:cs="Times New Roman" w:eastAsiaTheme="minorHAnsi"/>
                <w:color w:val="auto"/>
                <w:kern w:val="0"/>
                <w:sz w:val="24"/>
                <w:szCs w:val="24"/>
                <w:lang w:val="uk-UA" w:eastAsia="en-US" w:bidi="ar-SA"/>
              </w:rPr>
              <w:t>1 година</w:t>
            </w:r>
          </w:p>
        </w:tc>
        <w:tc>
          <w:tcPr>
            <w:tcW w:w="1439" w:type="dxa"/>
            <w:gridSpan w:val="2"/>
            <w:tcBorders>
              <w:top w:val="nil"/>
            </w:tcBorders>
          </w:tcPr>
          <w:p>
            <w:pPr>
              <w:pStyle w:val="NoSpacing"/>
              <w:widowControl w:val="false"/>
              <w:suppressAutoHyphens w:val="true"/>
              <w:spacing w:before="0" w:after="0"/>
              <w:jc w:val="center"/>
              <w:rPr>
                <w:rFonts w:ascii="Times New Roman" w:hAnsi="Times New Roman" w:eastAsia="Calibri" w:cs="Times New Roman"/>
                <w:kern w:val="0"/>
                <w:sz w:val="24"/>
                <w:szCs w:val="24"/>
                <w:lang w:val="uk-UA" w:eastAsia="en-US" w:bidi="ar-SA"/>
              </w:rPr>
            </w:pPr>
            <w:r>
              <w:rPr>
                <w:rFonts w:eastAsia="Calibri" w:cs="Times New Roman"/>
                <w:kern w:val="0"/>
                <w:sz w:val="24"/>
                <w:szCs w:val="24"/>
                <w:lang w:val="uk-UA" w:eastAsia="en-US" w:bidi="ar-SA"/>
              </w:rPr>
              <w:t>30 хвилин</w:t>
            </w:r>
          </w:p>
        </w:tc>
        <w:tc>
          <w:tcPr>
            <w:tcW w:w="1465" w:type="dxa"/>
            <w:gridSpan w:val="2"/>
            <w:tcBorders>
              <w:top w:val="nil"/>
            </w:tcBorders>
          </w:tcPr>
          <w:p>
            <w:pPr>
              <w:pStyle w:val="NoSpacing"/>
              <w:widowControl w:val="false"/>
              <w:suppressAutoHyphens w:val="true"/>
              <w:spacing w:before="0" w:after="0"/>
              <w:jc w:val="center"/>
              <w:rPr>
                <w:rFonts w:ascii="Times New Roman" w:hAnsi="Times New Roman" w:eastAsia="Calibri" w:cs="Times New Roman"/>
                <w:kern w:val="0"/>
                <w:sz w:val="24"/>
                <w:szCs w:val="24"/>
                <w:lang w:val="uk-UA" w:eastAsia="en-US" w:bidi="ar-SA"/>
              </w:rPr>
            </w:pPr>
            <w:r>
              <w:rPr>
                <w:rFonts w:eastAsia="Calibri" w:cs="Times New Roman"/>
                <w:kern w:val="0"/>
                <w:sz w:val="24"/>
                <w:szCs w:val="24"/>
                <w:lang w:val="uk-UA" w:eastAsia="en-US" w:bidi="ar-SA"/>
              </w:rPr>
              <w:t>Працівники Головного управління</w:t>
            </w:r>
          </w:p>
        </w:tc>
        <w:tc>
          <w:tcPr>
            <w:tcW w:w="1235" w:type="dxa"/>
            <w:gridSpan w:val="2"/>
            <w:tcBorders>
              <w:top w:val="nil"/>
            </w:tcBorders>
          </w:tcPr>
          <w:p>
            <w:pPr>
              <w:pStyle w:val="NoSpacing"/>
              <w:widowControl w:val="false"/>
              <w:suppressAutoHyphens w:val="true"/>
              <w:spacing w:before="0" w:after="0"/>
              <w:jc w:val="center"/>
              <w:rPr>
                <w:rFonts w:ascii="Times New Roman" w:hAnsi="Times New Roman" w:eastAsia="Calibri" w:cs="Times New Roman"/>
                <w:kern w:val="0"/>
                <w:sz w:val="24"/>
                <w:szCs w:val="24"/>
                <w:lang w:val="uk-UA" w:eastAsia="en-US" w:bidi="ar-SA"/>
              </w:rPr>
            </w:pPr>
            <w:r>
              <w:rPr>
                <w:rFonts w:eastAsia="Calibri" w:cs="Times New Roman"/>
                <w:kern w:val="0"/>
                <w:sz w:val="24"/>
                <w:szCs w:val="24"/>
                <w:lang w:val="uk-UA" w:eastAsia="en-US" w:bidi="ar-SA"/>
              </w:rPr>
              <w:t>54</w:t>
            </w:r>
          </w:p>
        </w:tc>
        <w:tc>
          <w:tcPr>
            <w:tcW w:w="1715" w:type="dxa"/>
            <w:tcBorders>
              <w:top w:val="nil"/>
            </w:tcBorders>
          </w:tcPr>
          <w:p>
            <w:pPr>
              <w:pStyle w:val="NoSpacing"/>
              <w:widowControl w:val="false"/>
              <w:suppressAutoHyphens w:val="true"/>
              <w:spacing w:before="0" w:after="0"/>
              <w:jc w:val="center"/>
              <w:rPr>
                <w:rFonts w:ascii="Times New Roman" w:hAnsi="Times New Roman" w:eastAsia="Calibri" w:cs="Times New Roman" w:eastAsiaTheme="minorHAnsi"/>
                <w:color w:val="auto"/>
                <w:kern w:val="0"/>
                <w:sz w:val="24"/>
                <w:szCs w:val="24"/>
                <w:lang w:val="uk-UA" w:eastAsia="en-US" w:bidi="ar-SA"/>
              </w:rPr>
            </w:pPr>
            <w:r>
              <w:rPr>
                <w:rFonts w:eastAsia="Calibri" w:cs="Times New Roman" w:eastAsiaTheme="minorHAnsi"/>
                <w:color w:val="auto"/>
                <w:kern w:val="0"/>
                <w:sz w:val="24"/>
                <w:szCs w:val="24"/>
                <w:lang w:val="uk-UA" w:eastAsia="en-US" w:bidi="ar-SA"/>
              </w:rPr>
              <w:t>Тестування та опитування (анкетування)</w:t>
            </w:r>
          </w:p>
        </w:tc>
        <w:tc>
          <w:tcPr>
            <w:tcW w:w="2011" w:type="dxa"/>
            <w:tcBorders>
              <w:top w:val="nil"/>
            </w:tcBorders>
          </w:tcPr>
          <w:p>
            <w:pPr>
              <w:pStyle w:val="NoSpacing"/>
              <w:widowControl w:val="false"/>
              <w:suppressAutoHyphens w:val="true"/>
              <w:spacing w:before="0" w:after="0"/>
              <w:jc w:val="both"/>
              <w:rPr>
                <w:rFonts w:ascii="Times New Roman" w:hAnsi="Times New Roman" w:eastAsia="Calibri" w:cs="Times New Roman"/>
                <w:kern w:val="0"/>
                <w:sz w:val="24"/>
                <w:szCs w:val="24"/>
                <w:lang w:val="uk-UA" w:eastAsia="en-US" w:bidi="ar-SA"/>
              </w:rPr>
            </w:pPr>
            <w:r>
              <w:rPr>
                <w:rFonts w:eastAsia="Calibri" w:cs="Times New Roman" w:eastAsiaTheme="minorHAnsi"/>
                <w:color w:val="auto"/>
                <w:kern w:val="0"/>
                <w:sz w:val="24"/>
                <w:szCs w:val="24"/>
                <w:lang w:val="uk-UA" w:eastAsia="en-US" w:bidi="ar-SA"/>
              </w:rPr>
              <w:t xml:space="preserve">Проведено навчальний захід та відповідні тестування та опитування (анкетування). Результати навчання проаналізовано та надані </w:t>
            </w:r>
            <w:r>
              <w:rPr>
                <w:rFonts w:eastAsia="Calibri" w:cs="Times New Roman" w:eastAsiaTheme="minorHAnsi"/>
                <w:color w:val="auto"/>
                <w:kern w:val="0"/>
                <w:sz w:val="24"/>
                <w:szCs w:val="24"/>
                <w:lang w:val="uk-UA" w:eastAsia="en-US" w:bidi="ar-SA"/>
              </w:rPr>
              <w:t xml:space="preserve">начальнику Головного управління </w:t>
            </w:r>
            <w:r>
              <w:rPr>
                <w:rFonts w:eastAsia="Calibri" w:cs="Times New Roman" w:eastAsiaTheme="minorHAnsi"/>
                <w:color w:val="auto"/>
                <w:kern w:val="0"/>
                <w:sz w:val="24"/>
                <w:szCs w:val="24"/>
                <w:lang w:val="uk-UA" w:eastAsia="en-US" w:bidi="ar-SA"/>
              </w:rPr>
              <w:t>службовою запискою від 04.11.2025 № 2485/07-16. Розміщено інформацію про проведений захід на офіційних  сторінках Головного управління</w:t>
            </w:r>
            <w:r>
              <w:rPr/>
              <w:t xml:space="preserve"> </w:t>
            </w:r>
            <w:r>
              <w:rPr>
                <w:rFonts w:eastAsia="Calibri" w:cs="Times New Roman" w:eastAsiaTheme="minorHAnsi"/>
                <w:color w:val="auto"/>
                <w:kern w:val="0"/>
                <w:sz w:val="24"/>
                <w:szCs w:val="24"/>
                <w:lang w:val="uk-UA" w:eastAsia="en-US" w:bidi="ar-SA"/>
              </w:rPr>
              <w:t>вебпорталу та</w:t>
            </w:r>
            <w:r>
              <w:rPr/>
              <w:t xml:space="preserve"> </w:t>
            </w:r>
            <w:r>
              <w:rPr>
                <w:rFonts w:eastAsia="Calibri" w:cs="Times New Roman" w:eastAsiaTheme="minorHAnsi"/>
                <w:color w:val="auto"/>
                <w:kern w:val="0"/>
                <w:sz w:val="24"/>
                <w:szCs w:val="24"/>
                <w:lang w:val="uk-UA" w:eastAsia="en-US" w:bidi="ar-SA"/>
              </w:rPr>
              <w:t>на</w:t>
            </w:r>
            <w:r>
              <w:rPr/>
              <w:t xml:space="preserve"> </w:t>
            </w:r>
            <w:r>
              <w:rPr>
                <w:rFonts w:eastAsia="Calibri" w:cs="Times New Roman"/>
                <w:kern w:val="0"/>
                <w:sz w:val="24"/>
                <w:szCs w:val="24"/>
                <w:lang w:val="uk-UA" w:eastAsia="en-US" w:bidi="ar-SA"/>
              </w:rPr>
              <w:t xml:space="preserve">сторінці  </w:t>
            </w:r>
            <w:r>
              <w:rPr>
                <w:rFonts w:eastAsia="Calibri" w:cs="Times New Roman"/>
                <w:kern w:val="0"/>
                <w:sz w:val="24"/>
                <w:szCs w:val="24"/>
                <w:lang w:val="en-US" w:eastAsia="en-US" w:bidi="ar-SA"/>
              </w:rPr>
              <w:t>Facebook (</w:t>
            </w:r>
            <w:r>
              <w:rPr>
                <w:rFonts w:eastAsia="Calibri" w:cs="Times New Roman"/>
                <w:kern w:val="0"/>
                <w:sz w:val="24"/>
                <w:szCs w:val="24"/>
                <w:lang w:val="uk-UA" w:eastAsia="en-US" w:bidi="ar-SA"/>
              </w:rPr>
              <w:t>службова записка від 31.10.2025 № 438/14-16 щодо розміщення інформації). Інформацію розміщено за посиланням</w:t>
            </w:r>
            <w:r>
              <w:rPr>
                <w:rStyle w:val="Style17"/>
                <w:rFonts w:eastAsia="Calibri" w:cs="Times New Roman"/>
                <w:kern w:val="0"/>
                <w:sz w:val="24"/>
                <w:szCs w:val="24"/>
                <w:lang w:val="uk-UA" w:eastAsia="en-US" w:bidi="ar-SA"/>
              </w:rPr>
              <w:t xml:space="preserve"> https://www.pfu.gov.ua/lg/368037-navchannya-z-antykoruptsijnoyi-dobrochesnosti-prava-ta-garantiyi-vykryvachiv/</w:t>
            </w:r>
          </w:p>
        </w:tc>
      </w:tr>
      <w:tr>
        <w:trPr/>
        <w:tc>
          <w:tcPr>
            <w:tcW w:w="557" w:type="dxa"/>
            <w:tcBorders/>
          </w:tcPr>
          <w:p>
            <w:pPr>
              <w:pStyle w:val="NoSpacing"/>
              <w:widowControl w:val="false"/>
              <w:suppressAutoHyphens w:val="true"/>
              <w:spacing w:before="0" w:after="0"/>
              <w:jc w:val="center"/>
              <w:rPr>
                <w:rFonts w:cs="Times New Roman"/>
                <w:sz w:val="24"/>
                <w:szCs w:val="24"/>
                <w:lang w:val="uk-UA"/>
              </w:rPr>
            </w:pPr>
            <w:r>
              <w:rPr>
                <w:rFonts w:eastAsia="Calibri" w:cs="Times New Roman"/>
                <w:kern w:val="0"/>
                <w:sz w:val="24"/>
                <w:szCs w:val="24"/>
                <w:lang w:val="uk-UA" w:eastAsia="en-US" w:bidi="ar-SA"/>
              </w:rPr>
              <w:t>4</w:t>
            </w:r>
          </w:p>
        </w:tc>
        <w:tc>
          <w:tcPr>
            <w:tcW w:w="1137" w:type="dxa"/>
            <w:gridSpan w:val="2"/>
            <w:tcBorders/>
          </w:tcPr>
          <w:p>
            <w:pPr>
              <w:pStyle w:val="NoSpacing"/>
              <w:widowControl w:val="false"/>
              <w:suppressAutoHyphens w:val="true"/>
              <w:spacing w:before="0" w:after="0"/>
              <w:jc w:val="center"/>
              <w:rPr>
                <w:rFonts w:ascii="Times New Roman" w:hAnsi="Times New Roman" w:eastAsia="Calibri" w:cs="Calibri" w:cstheme="minorHAnsi" w:eastAsiaTheme="minorHAnsi"/>
                <w:color w:val="auto"/>
                <w:kern w:val="0"/>
                <w:sz w:val="20"/>
                <w:szCs w:val="20"/>
                <w:lang w:eastAsia="en-US" w:bidi="ar-SA"/>
              </w:rPr>
            </w:pPr>
            <w:r>
              <w:rPr>
                <w:rFonts w:eastAsia="Calibri" w:cs="Calibri" w:cstheme="minorHAnsi" w:eastAsiaTheme="minorHAnsi"/>
                <w:color w:val="auto"/>
                <w:kern w:val="0"/>
                <w:sz w:val="20"/>
                <w:szCs w:val="20"/>
                <w:lang w:val="uk-UA" w:eastAsia="en-US" w:bidi="ar-SA"/>
              </w:rPr>
              <w:t>12.12.2025</w:t>
            </w:r>
          </w:p>
        </w:tc>
        <w:tc>
          <w:tcPr>
            <w:tcW w:w="3157" w:type="dxa"/>
            <w:tcBorders/>
          </w:tcPr>
          <w:p>
            <w:pPr>
              <w:pStyle w:val="NoSpacing"/>
              <w:widowControl w:val="false"/>
              <w:spacing w:before="0" w:after="0"/>
              <w:jc w:val="center"/>
              <w:rPr>
                <w:rFonts w:cs="Times New Roman"/>
                <w:sz w:val="24"/>
                <w:szCs w:val="24"/>
                <w:lang w:val="uk-UA"/>
              </w:rPr>
            </w:pPr>
            <w:r>
              <w:rPr>
                <w:rFonts w:eastAsia="Calibri" w:cs="Times New Roman"/>
                <w:kern w:val="0"/>
                <w:sz w:val="24"/>
                <w:szCs w:val="24"/>
                <w:lang w:val="uk-UA" w:eastAsia="en-US" w:bidi="ar-SA"/>
              </w:rPr>
              <w:t>Засідання за круглим столом з нагоди відзначення Міжнародного дня боротьби з корупцією (International Anti-Corruption Day), який відзначається щорічно 9 грудня з ініціативи Організації Об’єднаних Націй</w:t>
            </w:r>
          </w:p>
        </w:tc>
        <w:tc>
          <w:tcPr>
            <w:tcW w:w="1801" w:type="dxa"/>
            <w:tcBorders/>
          </w:tcPr>
          <w:p>
            <w:pPr>
              <w:pStyle w:val="NoSpacing"/>
              <w:widowControl w:val="false"/>
              <w:suppressAutoHyphens w:val="true"/>
              <w:spacing w:before="0" w:after="0"/>
              <w:jc w:val="center"/>
              <w:rPr>
                <w:rFonts w:ascii="Times New Roman" w:hAnsi="Times New Roman" w:eastAsia="Calibri" w:cs="Times New Roman"/>
                <w:kern w:val="0"/>
                <w:sz w:val="24"/>
                <w:szCs w:val="24"/>
                <w:lang w:val="uk-UA" w:eastAsia="en-US" w:bidi="ar-SA"/>
              </w:rPr>
            </w:pPr>
            <w:r>
              <w:rPr>
                <w:rFonts w:eastAsia="Calibri" w:cs="Times New Roman"/>
                <w:kern w:val="0"/>
                <w:sz w:val="24"/>
                <w:szCs w:val="24"/>
                <w:lang w:val="uk-UA" w:eastAsia="en-US" w:bidi="ar-SA"/>
              </w:rPr>
              <w:t>Відділ з питань запобігання та виявлення корупції Головного управління</w:t>
            </w:r>
          </w:p>
        </w:tc>
        <w:tc>
          <w:tcPr>
            <w:tcW w:w="1351" w:type="dxa"/>
            <w:tcBorders/>
          </w:tcPr>
          <w:p>
            <w:pPr>
              <w:pStyle w:val="NoSpacing"/>
              <w:widowControl w:val="false"/>
              <w:suppressAutoHyphens w:val="true"/>
              <w:spacing w:before="0" w:after="0"/>
              <w:jc w:val="center"/>
              <w:rPr>
                <w:rFonts w:ascii="Times New Roman" w:hAnsi="Times New Roman" w:eastAsia="Calibri" w:cs="Times New Roman"/>
                <w:kern w:val="0"/>
                <w:sz w:val="24"/>
                <w:szCs w:val="24"/>
                <w:lang w:val="uk-UA" w:eastAsia="en-US" w:bidi="ar-SA"/>
              </w:rPr>
            </w:pPr>
            <w:r>
              <w:rPr>
                <w:rFonts w:eastAsia="Calibri" w:cs="Times New Roman"/>
                <w:kern w:val="0"/>
                <w:sz w:val="24"/>
                <w:szCs w:val="24"/>
                <w:lang w:val="uk-UA" w:eastAsia="en-US" w:bidi="ar-SA"/>
              </w:rPr>
              <w:t>1 год.</w:t>
            </w:r>
          </w:p>
        </w:tc>
        <w:tc>
          <w:tcPr>
            <w:tcW w:w="1439" w:type="dxa"/>
            <w:gridSpan w:val="2"/>
            <w:tcBorders/>
          </w:tcPr>
          <w:p>
            <w:pPr>
              <w:pStyle w:val="NoSpacing"/>
              <w:widowControl w:val="false"/>
              <w:suppressAutoHyphens w:val="true"/>
              <w:spacing w:before="0" w:after="0"/>
              <w:jc w:val="center"/>
              <w:rPr>
                <w:rFonts w:ascii="Times New Roman" w:hAnsi="Times New Roman" w:eastAsia="Calibri" w:cs="Times New Roman"/>
                <w:kern w:val="0"/>
                <w:sz w:val="24"/>
                <w:szCs w:val="24"/>
                <w:lang w:val="uk-UA" w:eastAsia="en-US" w:bidi="ar-SA"/>
              </w:rPr>
            </w:pPr>
            <w:r>
              <w:rPr>
                <w:rFonts w:eastAsia="Calibri" w:cs="Times New Roman"/>
                <w:kern w:val="0"/>
                <w:sz w:val="24"/>
                <w:szCs w:val="24"/>
                <w:lang w:val="uk-UA" w:eastAsia="en-US" w:bidi="ar-SA"/>
              </w:rPr>
              <w:t>00 хвилин.</w:t>
            </w:r>
          </w:p>
        </w:tc>
        <w:tc>
          <w:tcPr>
            <w:tcW w:w="1465" w:type="dxa"/>
            <w:gridSpan w:val="2"/>
            <w:tcBorders/>
          </w:tcPr>
          <w:p>
            <w:pPr>
              <w:pStyle w:val="NoSpacing"/>
              <w:widowControl w:val="false"/>
              <w:suppressAutoHyphens w:val="true"/>
              <w:spacing w:before="0" w:after="0"/>
              <w:jc w:val="center"/>
              <w:rPr>
                <w:rFonts w:ascii="Times New Roman" w:hAnsi="Times New Roman" w:eastAsia="Calibri" w:cs="Times New Roman"/>
                <w:kern w:val="0"/>
                <w:sz w:val="24"/>
                <w:szCs w:val="24"/>
                <w:lang w:val="uk-UA" w:eastAsia="en-US" w:bidi="ar-SA"/>
              </w:rPr>
            </w:pPr>
            <w:r>
              <w:rPr>
                <w:rFonts w:eastAsia="Calibri" w:cs="Times New Roman"/>
                <w:kern w:val="0"/>
                <w:sz w:val="24"/>
                <w:szCs w:val="24"/>
                <w:lang w:val="uk-UA" w:eastAsia="en-US" w:bidi="ar-SA"/>
              </w:rPr>
              <w:t>Працівники Головного управління</w:t>
            </w:r>
          </w:p>
        </w:tc>
        <w:tc>
          <w:tcPr>
            <w:tcW w:w="1235" w:type="dxa"/>
            <w:gridSpan w:val="2"/>
            <w:tcBorders/>
          </w:tcPr>
          <w:p>
            <w:pPr>
              <w:pStyle w:val="NoSpacing"/>
              <w:widowControl w:val="false"/>
              <w:suppressAutoHyphens w:val="true"/>
              <w:spacing w:before="0" w:after="0"/>
              <w:jc w:val="center"/>
              <w:rPr>
                <w:rFonts w:ascii="Times New Roman" w:hAnsi="Times New Roman" w:eastAsia="Calibri" w:cs="Times New Roman"/>
                <w:kern w:val="0"/>
                <w:sz w:val="24"/>
                <w:szCs w:val="24"/>
                <w:lang w:val="uk-UA" w:eastAsia="en-US" w:bidi="ar-SA"/>
              </w:rPr>
            </w:pPr>
            <w:r>
              <w:rPr>
                <w:rFonts w:eastAsia="Calibri" w:cs="Times New Roman"/>
                <w:kern w:val="0"/>
                <w:sz w:val="24"/>
                <w:szCs w:val="24"/>
                <w:lang w:val="uk-UA" w:eastAsia="en-US" w:bidi="ar-SA"/>
              </w:rPr>
              <w:t>196</w:t>
            </w:r>
          </w:p>
        </w:tc>
        <w:tc>
          <w:tcPr>
            <w:tcW w:w="1715" w:type="dxa"/>
            <w:tcBorders/>
          </w:tcPr>
          <w:p>
            <w:pPr>
              <w:pStyle w:val="NoSpacing"/>
              <w:widowControl w:val="false"/>
              <w:suppressAutoHyphens w:val="true"/>
              <w:spacing w:before="0" w:after="0"/>
              <w:jc w:val="center"/>
              <w:rPr>
                <w:rFonts w:ascii="Times New Roman" w:hAnsi="Times New Roman" w:eastAsia="Calibri" w:cs="Times New Roman"/>
                <w:kern w:val="0"/>
                <w:sz w:val="24"/>
                <w:szCs w:val="24"/>
                <w:lang w:val="uk-UA" w:eastAsia="en-US" w:bidi="ar-SA"/>
              </w:rPr>
            </w:pPr>
            <w:r>
              <w:rPr>
                <w:rFonts w:eastAsia="Calibri" w:cs="Times New Roman"/>
                <w:kern w:val="0"/>
                <w:sz w:val="24"/>
                <w:szCs w:val="24"/>
                <w:lang w:val="uk-UA" w:eastAsia="en-US" w:bidi="ar-SA"/>
              </w:rPr>
              <w:t>_</w:t>
            </w:r>
          </w:p>
        </w:tc>
        <w:tc>
          <w:tcPr>
            <w:tcW w:w="2011" w:type="dxa"/>
            <w:tcBorders/>
          </w:tcPr>
          <w:p>
            <w:pPr>
              <w:pStyle w:val="NoSpacing"/>
              <w:widowControl w:val="false"/>
              <w:spacing w:before="0" w:after="0"/>
              <w:jc w:val="both"/>
              <w:rPr>
                <w:b/>
                <w:b/>
                <w:sz w:val="24"/>
                <w:szCs w:val="24"/>
                <w:lang w:val="uk-UA"/>
              </w:rPr>
            </w:pPr>
            <w:r>
              <w:rPr>
                <w:rFonts w:eastAsia="Calibri" w:cs="Times New Roman"/>
                <w:kern w:val="0"/>
                <w:sz w:val="24"/>
                <w:szCs w:val="24"/>
                <w:lang w:val="uk-UA" w:eastAsia="en-US" w:bidi="ar-SA"/>
              </w:rPr>
              <w:t>Опубліковано на інформаційних сторінках Головного управління  інформацію про запрошення на</w:t>
            </w:r>
          </w:p>
          <w:p>
            <w:pPr>
              <w:pStyle w:val="NoSpacing"/>
              <w:widowControl w:val="false"/>
              <w:spacing w:before="0" w:after="0"/>
              <w:jc w:val="both"/>
              <w:rPr>
                <w:b/>
                <w:b/>
                <w:sz w:val="24"/>
                <w:szCs w:val="24"/>
                <w:lang w:val="uk-UA"/>
              </w:rPr>
            </w:pPr>
            <w:r>
              <w:rPr>
                <w:rFonts w:eastAsia="Calibri" w:cs="Times New Roman"/>
                <w:kern w:val="0"/>
                <w:sz w:val="24"/>
                <w:szCs w:val="24"/>
                <w:lang w:val="uk-UA" w:eastAsia="en-US" w:bidi="ar-SA"/>
              </w:rPr>
              <w:t xml:space="preserve">вебпорталі електронних послуг Пенсійного фонду України </w:t>
            </w:r>
          </w:p>
          <w:p>
            <w:pPr>
              <w:pStyle w:val="NoSpacing"/>
              <w:widowControl w:val="false"/>
              <w:spacing w:before="0" w:after="0"/>
              <w:jc w:val="both"/>
              <w:rPr>
                <w:b/>
                <w:b/>
                <w:sz w:val="24"/>
                <w:szCs w:val="24"/>
                <w:lang w:val="uk-UA"/>
              </w:rPr>
            </w:pPr>
            <w:hyperlink r:id="rId2">
              <w:r>
                <w:rPr>
                  <w:rStyle w:val="Style17"/>
                  <w:rFonts w:eastAsia="Calibri" w:cs="Times New Roman"/>
                  <w:kern w:val="0"/>
                  <w:sz w:val="24"/>
                  <w:szCs w:val="24"/>
                  <w:lang w:val="uk-UA" w:eastAsia="en-US" w:bidi="ar-SA"/>
                </w:rPr>
                <w:t>https://www.pfu.gov.ua/lg/368831-zaproshuyemo-doluchytysya-do-zahodu-v-formati-kruglogo-stolu-u-ramkah-provedennya-tyzhnya-dobrochesnosti/</w:t>
              </w:r>
            </w:hyperlink>
            <w:r>
              <w:rPr>
                <w:rFonts w:eastAsia="Calibri" w:cs="Times New Roman"/>
                <w:kern w:val="0"/>
                <w:sz w:val="24"/>
                <w:szCs w:val="24"/>
                <w:lang w:val="uk-UA" w:eastAsia="en-US" w:bidi="ar-SA"/>
              </w:rPr>
              <w:t xml:space="preserve">, на сторінці </w:t>
            </w:r>
            <w:r>
              <w:rPr>
                <w:rFonts w:eastAsia="Calibri" w:cs="Times New Roman"/>
                <w:kern w:val="0"/>
                <w:sz w:val="24"/>
                <w:szCs w:val="24"/>
                <w:lang w:val="en-US" w:eastAsia="en-US" w:bidi="ar-SA"/>
              </w:rPr>
              <w:t xml:space="preserve">Facebook, Telegram </w:t>
            </w:r>
            <w:r>
              <w:rPr>
                <w:rFonts w:eastAsia="Calibri" w:cs="Times New Roman"/>
                <w:kern w:val="0"/>
                <w:sz w:val="24"/>
                <w:szCs w:val="24"/>
                <w:lang w:val="uk-UA" w:eastAsia="en-US" w:bidi="ar-SA"/>
              </w:rPr>
              <w:t>та інформацію про проведення просвітницького заходу</w:t>
            </w:r>
          </w:p>
          <w:p>
            <w:pPr>
              <w:pStyle w:val="NoSpacing"/>
              <w:widowControl w:val="false"/>
              <w:spacing w:before="0" w:after="0"/>
              <w:jc w:val="both"/>
              <w:rPr>
                <w:b/>
                <w:b/>
                <w:sz w:val="24"/>
                <w:szCs w:val="24"/>
                <w:lang w:val="uk-UA"/>
              </w:rPr>
            </w:pPr>
            <w:r>
              <w:rPr>
                <w:rFonts w:eastAsia="Calibri" w:cs="Times New Roman"/>
                <w:kern w:val="0"/>
                <w:sz w:val="24"/>
                <w:szCs w:val="24"/>
                <w:lang w:val="uk-UA" w:eastAsia="en-US" w:bidi="ar-SA"/>
              </w:rPr>
              <w:t xml:space="preserve">на сторінках вебпорталу та </w:t>
            </w:r>
            <w:r>
              <w:rPr>
                <w:rFonts w:eastAsia="Calibri" w:cs="Times New Roman"/>
                <w:kern w:val="0"/>
                <w:sz w:val="24"/>
                <w:szCs w:val="24"/>
                <w:lang w:val="en-US" w:eastAsia="en-US" w:bidi="ar-SA"/>
              </w:rPr>
              <w:t xml:space="preserve">Facebook </w:t>
            </w:r>
            <w:hyperlink r:id="rId3">
              <w:r>
                <w:rPr>
                  <w:rStyle w:val="Style17"/>
                  <w:rFonts w:eastAsia="Calibri" w:cs="Times New Roman"/>
                  <w:kern w:val="0"/>
                  <w:sz w:val="24"/>
                  <w:szCs w:val="24"/>
                  <w:lang w:val="en-US" w:eastAsia="en-US" w:bidi="ar-SA"/>
                </w:rPr>
                <w:t>https://www.pfu.gov.ua/lg/368894-tyzhden-dobrochesnosti-v-golovnomu-upravlinni-fondu-v-luganskij-oblasti/</w:t>
              </w:r>
            </w:hyperlink>
            <w:r>
              <w:rPr>
                <w:rFonts w:eastAsia="Calibri" w:cs="Times New Roman"/>
                <w:kern w:val="0"/>
                <w:sz w:val="24"/>
                <w:szCs w:val="24"/>
                <w:lang w:val="en-US" w:eastAsia="en-US" w:bidi="ar-SA"/>
              </w:rPr>
              <w:t xml:space="preserve"> </w:t>
            </w:r>
          </w:p>
          <w:p>
            <w:pPr>
              <w:pStyle w:val="NoSpacing"/>
              <w:widowControl w:val="false"/>
              <w:spacing w:before="0" w:after="0"/>
              <w:jc w:val="both"/>
              <w:rPr>
                <w:b/>
                <w:b/>
                <w:sz w:val="24"/>
                <w:szCs w:val="24"/>
                <w:lang w:val="uk-UA"/>
              </w:rPr>
            </w:pPr>
            <w:r>
              <w:rPr>
                <w:b/>
                <w:sz w:val="24"/>
                <w:szCs w:val="24"/>
                <w:lang w:val="uk-UA"/>
              </w:rPr>
            </w:r>
          </w:p>
        </w:tc>
      </w:tr>
    </w:tbl>
    <w:p>
      <w:pPr>
        <w:pStyle w:val="NoSpacing"/>
        <w:rPr>
          <w:b/>
          <w:b/>
          <w:sz w:val="24"/>
          <w:szCs w:val="24"/>
          <w:lang w:val="uk-UA"/>
        </w:rPr>
      </w:pPr>
      <w:r>
        <w:rPr>
          <w:b/>
          <w:sz w:val="24"/>
          <w:szCs w:val="24"/>
          <w:lang w:val="uk-UA"/>
        </w:rPr>
      </w:r>
    </w:p>
    <w:p>
      <w:pPr>
        <w:pStyle w:val="NoSpacing"/>
        <w:jc w:val="center"/>
        <w:rPr>
          <w:b/>
          <w:b/>
          <w:sz w:val="24"/>
          <w:szCs w:val="24"/>
          <w:lang w:val="uk-UA"/>
        </w:rPr>
      </w:pPr>
      <w:r>
        <w:rPr>
          <w:b/>
          <w:sz w:val="24"/>
          <w:szCs w:val="24"/>
          <w:lang w:val="uk-UA"/>
        </w:rPr>
        <w:t>_________________________</w:t>
      </w:r>
    </w:p>
    <w:sectPr>
      <w:headerReference w:type="default" r:id="rId4"/>
      <w:footerReference w:type="default" r:id="rId5"/>
      <w:type w:val="nextPage"/>
      <w:pgSz w:orient="landscape" w:w="16838" w:h="11906"/>
      <w:pgMar w:left="1701" w:right="536" w:gutter="0" w:header="709" w:top="1134" w:footer="709" w:bottom="766"/>
      <w:pgNumType w:fmt="decimal"/>
      <w:formProt w:val="false"/>
      <w:titlePg/>
      <w:textDirection w:val="lrTb"/>
      <w:docGrid w:type="default" w:linePitch="381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Times New Roman">
    <w:charset w:val="cc"/>
    <w:family w:val="roman"/>
    <w:pitch w:val="variable"/>
  </w:font>
  <w:font w:name="Segoe UI">
    <w:charset w:val="cc"/>
    <w:family w:val="roman"/>
    <w:pitch w:val="variable"/>
  </w:font>
  <w:font w:name="Liberation Sans">
    <w:altName w:val="Arial"/>
    <w:charset w:val="cc"/>
    <w:family w:val="roman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Style27"/>
      <w:jc w:val="center"/>
      <w:rPr>
        <w:lang w:val="uk-UA"/>
      </w:rPr>
    </w:pPr>
    <w:r>
      <w:rPr>
        <w:lang w:val="uk-UA"/>
      </w:rPr>
    </w:r>
  </w:p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Style26"/>
      <w:jc w:val="center"/>
      <w:rPr>
        <w:sz w:val="24"/>
        <w:szCs w:val="24"/>
        <w:lang w:val="uk-UA"/>
      </w:rPr>
    </w:pPr>
    <w:r>
      <w:rPr>
        <w:sz w:val="24"/>
        <w:szCs w:val="24"/>
      </w:rPr>
      <w:tab/>
      <w:t xml:space="preserve">                                                                               </w:t>
    </w:r>
    <w:r>
      <w:rPr>
        <w:sz w:val="24"/>
        <w:szCs w:val="24"/>
        <w:lang w:val="uk-UA"/>
      </w:rPr>
      <w:fldChar w:fldCharType="begin"/>
    </w:r>
    <w:r>
      <w:rPr>
        <w:sz w:val="24"/>
        <w:szCs w:val="24"/>
        <w:lang w:val="uk-UA"/>
      </w:rPr>
      <w:instrText xml:space="preserve"> PAGE </w:instrText>
    </w:r>
    <w:r>
      <w:rPr>
        <w:sz w:val="24"/>
        <w:szCs w:val="24"/>
        <w:lang w:val="uk-UA"/>
      </w:rPr>
      <w:fldChar w:fldCharType="separate"/>
    </w:r>
    <w:r>
      <w:rPr>
        <w:sz w:val="24"/>
        <w:szCs w:val="24"/>
        <w:lang w:val="uk-UA"/>
      </w:rPr>
      <w:t>6</w:t>
    </w:r>
    <w:r>
      <w:rPr>
        <w:sz w:val="24"/>
        <w:szCs w:val="24"/>
        <w:lang w:val="uk-UA"/>
      </w:rPr>
      <w:fldChar w:fldCharType="end"/>
    </w:r>
    <w:r>
      <w:rPr>
        <w:sz w:val="24"/>
        <w:szCs w:val="24"/>
      </w:rPr>
      <w:tab/>
      <w:t xml:space="preserve">      </w:t>
      <w:tab/>
      <w:tab/>
      <w:tab/>
      <w:tab/>
    </w:r>
    <w:r>
      <w:rPr>
        <w:sz w:val="24"/>
        <w:szCs w:val="24"/>
        <w:lang w:val="uk-UA"/>
      </w:rPr>
      <w:t xml:space="preserve">продовження додатка </w:t>
    </w:r>
  </w:p>
</w:hdr>
</file>

<file path=word/settings.xml><?xml version="1.0" encoding="utf-8"?>
<w:settings xmlns:w="http://schemas.openxmlformats.org/wordprocessingml/2006/main">
  <w:zoom w:percent="75"/>
  <w:defaultTabStop w:val="708"/>
  <w:autoHyphenation w:val="true"/>
  <w:hyphenationZone w:val="425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themeFontLang w:val="ru-RU" w:eastAsia="ko-KR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Calibri" w:cs="Calibri" w:cstheme="minorHAnsi" w:eastAsiaTheme="minorHAnsi"/>
        <w:sz w:val="28"/>
        <w:szCs w:val="22"/>
        <w:lang w:val="ru-RU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  <w:pPr>
      <w:widowControl/>
      <w:suppressAutoHyphens w:val="true"/>
      <w:bidi w:val="0"/>
      <w:spacing w:lineRule="auto" w:line="259" w:before="0" w:after="160"/>
      <w:jc w:val="left"/>
    </w:pPr>
    <w:rPr>
      <w:rFonts w:ascii="Times New Roman" w:hAnsi="Times New Roman" w:eastAsia="Calibri" w:cs="Calibri" w:cstheme="minorHAnsi" w:eastAsiaTheme="minorHAnsi"/>
      <w:color w:val="auto"/>
      <w:kern w:val="0"/>
      <w:sz w:val="28"/>
      <w:szCs w:val="22"/>
      <w:lang w:val="ru-RU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Style14" w:customStyle="1">
    <w:name w:val="Верхній колонтитул Знак"/>
    <w:basedOn w:val="DefaultParagraphFont"/>
    <w:uiPriority w:val="99"/>
    <w:qFormat/>
    <w:rsid w:val="005f375a"/>
    <w:rPr/>
  </w:style>
  <w:style w:type="character" w:styleId="Style15" w:customStyle="1">
    <w:name w:val="Нижній колонтитул Знак"/>
    <w:basedOn w:val="DefaultParagraphFont"/>
    <w:uiPriority w:val="99"/>
    <w:qFormat/>
    <w:rsid w:val="005f375a"/>
    <w:rPr/>
  </w:style>
  <w:style w:type="character" w:styleId="Style16" w:customStyle="1">
    <w:name w:val="Текст у виносці Знак"/>
    <w:basedOn w:val="DefaultParagraphFont"/>
    <w:link w:val="BalloonText"/>
    <w:uiPriority w:val="99"/>
    <w:semiHidden/>
    <w:qFormat/>
    <w:rsid w:val="005517a6"/>
    <w:rPr>
      <w:rFonts w:ascii="Segoe UI" w:hAnsi="Segoe UI" w:cs="Segoe UI"/>
      <w:sz w:val="18"/>
      <w:szCs w:val="18"/>
    </w:rPr>
  </w:style>
  <w:style w:type="character" w:styleId="Style17">
    <w:name w:val="Hyperlink"/>
    <w:rPr>
      <w:color w:val="000080"/>
      <w:u w:val="single"/>
    </w:rPr>
  </w:style>
  <w:style w:type="paragraph" w:styleId="Style18">
    <w:name w:val="Заголовок"/>
    <w:basedOn w:val="Normal"/>
    <w:next w:val="Style19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Style19">
    <w:name w:val="Body Text"/>
    <w:basedOn w:val="Normal"/>
    <w:pPr>
      <w:spacing w:lineRule="auto" w:line="276" w:before="0" w:after="140"/>
    </w:pPr>
    <w:rPr/>
  </w:style>
  <w:style w:type="paragraph" w:styleId="Style20">
    <w:name w:val="List"/>
    <w:basedOn w:val="Style19"/>
    <w:pPr/>
    <w:rPr>
      <w:rFonts w:cs="Arial"/>
    </w:rPr>
  </w:style>
  <w:style w:type="paragraph" w:styleId="Style21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Style22">
    <w:name w:val="Покажчик"/>
    <w:basedOn w:val="Normal"/>
    <w:qFormat/>
    <w:pPr>
      <w:suppressLineNumbers/>
    </w:pPr>
    <w:rPr>
      <w:rFonts w:cs="Lucida Sans"/>
    </w:rPr>
  </w:style>
  <w:style w:type="paragraph" w:styleId="Style23">
    <w:name w:val="Указатель"/>
    <w:basedOn w:val="Normal"/>
    <w:qFormat/>
    <w:pPr>
      <w:suppressLineNumbers/>
    </w:pPr>
    <w:rPr>
      <w:rFonts w:cs="Arial"/>
      <w:lang w:val="zxx" w:eastAsia="zxx" w:bidi="zxx"/>
    </w:rPr>
  </w:style>
  <w:style w:type="paragraph" w:styleId="NoSpacing">
    <w:name w:val="No Spacing"/>
    <w:uiPriority w:val="1"/>
    <w:qFormat/>
    <w:rsid w:val="00b51408"/>
    <w:pPr>
      <w:widowControl/>
      <w:suppressAutoHyphens w:val="true"/>
      <w:bidi w:val="0"/>
      <w:spacing w:lineRule="auto" w:line="240" w:before="0" w:after="0"/>
      <w:jc w:val="left"/>
    </w:pPr>
    <w:rPr>
      <w:rFonts w:ascii="Times New Roman" w:hAnsi="Times New Roman" w:eastAsia="Calibri" w:cs="Calibri" w:cstheme="minorHAnsi" w:eastAsiaTheme="minorHAnsi"/>
      <w:color w:val="auto"/>
      <w:kern w:val="0"/>
      <w:sz w:val="28"/>
      <w:szCs w:val="22"/>
      <w:lang w:val="ru-RU" w:eastAsia="en-US" w:bidi="ar-SA"/>
    </w:rPr>
  </w:style>
  <w:style w:type="paragraph" w:styleId="Style24">
    <w:name w:val="Колонтитул"/>
    <w:basedOn w:val="Normal"/>
    <w:qFormat/>
    <w:pPr/>
    <w:rPr/>
  </w:style>
  <w:style w:type="paragraph" w:styleId="Style25">
    <w:name w:val="Верхній і нижній колонтитули"/>
    <w:basedOn w:val="Normal"/>
    <w:qFormat/>
    <w:pPr/>
    <w:rPr/>
  </w:style>
  <w:style w:type="paragraph" w:styleId="Style26">
    <w:name w:val="Header"/>
    <w:basedOn w:val="Normal"/>
    <w:link w:val="Style14"/>
    <w:uiPriority w:val="99"/>
    <w:unhideWhenUsed/>
    <w:rsid w:val="005f375a"/>
    <w:pPr>
      <w:tabs>
        <w:tab w:val="clear" w:pos="708"/>
        <w:tab w:val="center" w:pos="4677" w:leader="none"/>
        <w:tab w:val="right" w:pos="9355" w:leader="none"/>
      </w:tabs>
      <w:spacing w:lineRule="auto" w:line="240" w:before="0" w:after="0"/>
    </w:pPr>
    <w:rPr/>
  </w:style>
  <w:style w:type="paragraph" w:styleId="Style27">
    <w:name w:val="Footer"/>
    <w:basedOn w:val="Normal"/>
    <w:link w:val="Style15"/>
    <w:uiPriority w:val="99"/>
    <w:unhideWhenUsed/>
    <w:rsid w:val="005f375a"/>
    <w:pPr>
      <w:tabs>
        <w:tab w:val="clear" w:pos="708"/>
        <w:tab w:val="center" w:pos="4677" w:leader="none"/>
        <w:tab w:val="right" w:pos="9355" w:leader="none"/>
      </w:tabs>
      <w:spacing w:lineRule="auto" w:line="240" w:before="0" w:after="0"/>
    </w:pPr>
    <w:rPr/>
  </w:style>
  <w:style w:type="paragraph" w:styleId="BalloonText">
    <w:name w:val="Balloon Text"/>
    <w:basedOn w:val="Normal"/>
    <w:link w:val="Style16"/>
    <w:uiPriority w:val="99"/>
    <w:semiHidden/>
    <w:unhideWhenUsed/>
    <w:qFormat/>
    <w:rsid w:val="005517a6"/>
    <w:pPr>
      <w:spacing w:lineRule="auto" w:line="240" w:before="0" w:after="0"/>
    </w:pPr>
    <w:rPr>
      <w:rFonts w:ascii="Segoe UI" w:hAnsi="Segoe UI" w:cs="Segoe UI"/>
      <w:sz w:val="18"/>
      <w:szCs w:val="18"/>
    </w:rPr>
  </w:style>
  <w:style w:type="paragraph" w:styleId="Style28">
    <w:name w:val="Содержимое таблицы"/>
    <w:basedOn w:val="Normal"/>
    <w:qFormat/>
    <w:pPr>
      <w:widowControl w:val="false"/>
      <w:suppressLineNumbers/>
    </w:pPr>
    <w:rPr/>
  </w:style>
  <w:style w:type="paragraph" w:styleId="Style29">
    <w:name w:val="Заголовок таблицы"/>
    <w:basedOn w:val="Style28"/>
    <w:qFormat/>
    <w:pPr>
      <w:suppressLineNumbers/>
      <w:jc w:val="center"/>
    </w:pPr>
    <w:rPr>
      <w:b/>
      <w:bCs/>
    </w:rPr>
  </w:style>
  <w:style w:type="paragraph" w:styleId="Style30">
    <w:name w:val="Вміст таблиці"/>
    <w:basedOn w:val="Normal"/>
    <w:qFormat/>
    <w:pPr>
      <w:widowControl w:val="false"/>
      <w:suppressLineNumbers/>
    </w:pPr>
    <w:rPr/>
  </w:style>
  <w:style w:type="paragraph" w:styleId="Style31">
    <w:name w:val="Заголовок таблиці"/>
    <w:basedOn w:val="Style30"/>
    <w:qFormat/>
    <w:pPr>
      <w:suppressLineNumbers/>
      <w:jc w:val="center"/>
    </w:pPr>
    <w:rPr>
      <w:b/>
      <w:bCs/>
    </w:rPr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a4">
    <w:name w:val="Table Grid"/>
    <w:basedOn w:val="a1"/>
    <w:uiPriority w:val="39"/>
    <w:rsid w:val="009617d9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yperlink" Target="https://www.pfu.gov.ua/lg/368831-zaproshuyemo-doluchytysya-do-zahodu-v-formati-kruglogo-stolu-u-ramkah-provedennya-tyzhnya-dobrochesnosti/" TargetMode="External"/><Relationship Id="rId3" Type="http://schemas.openxmlformats.org/officeDocument/2006/relationships/hyperlink" Target="https://www.pfu.gov.ua/lg/368894-tyzhden-dobrochesnosti-v-golovnomu-upravlinni-fondu-v-luganskij-oblasti/" TargetMode="Externa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fontTable" Target="fontTable.xml"/><Relationship Id="rId7" Type="http://schemas.openxmlformats.org/officeDocument/2006/relationships/settings" Target="settings.xml"/><Relationship Id="rId8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172</TotalTime>
  <Application>LibreOffice/7.4.3.2$Windows_X86_64 LibreOffice_project/1048a8393ae2eeec98dff31b5c133c5f1d08b890</Application>
  <AppVersion>15.0000</AppVersion>
  <Pages>6</Pages>
  <Words>394</Words>
  <Characters>3177</Characters>
  <CharactersWithSpaces>3598</CharactersWithSpaces>
  <Paragraphs>76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2023-06-19T07:19:00Z</dcterms:created>
  <dc:creator>Diana Vladimirovna</dc:creator>
  <dc:description/>
  <dc:language>en-US</dc:language>
  <cp:lastModifiedBy/>
  <cp:lastPrinted>2021-09-27T14:34:00Z</cp:lastPrinted>
  <dcterms:modified xsi:type="dcterms:W3CDTF">2026-01-07T10:42:26Z</dcterms:modified>
  <cp:revision>56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