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left="4819"/>
        <w:jc w:val="left"/>
        <w:rPr>
          <w:bCs/>
        </w:rPr>
      </w:pPr>
      <w:r>
        <w:rPr>
          <w:bCs/>
        </w:rPr>
        <w:t>Додаток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до Наказу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Головного управління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Пенсійного фонду України в м. Києві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>від “17” серпня 2026 року №________</w:t>
      </w:r>
    </w:p>
    <w:p>
      <w:pPr>
        <w:pStyle w:val="Normal"/>
        <w:widowControl/>
        <w:suppressAutoHyphens w:val="true"/>
        <w:bidi w:val="0"/>
        <w:spacing w:lineRule="auto" w:line="276" w:before="0" w:after="0"/>
        <w:ind w:hanging="0" w:left="0" w:right="0"/>
        <w:jc w:val="center"/>
        <w:rPr/>
      </w:pPr>
      <w:r>
        <w:rPr/>
      </w:r>
    </w:p>
    <w:p>
      <w:pPr>
        <w:pStyle w:val="Normal"/>
        <w:widowControl/>
        <w:suppressAutoHyphens w:val="true"/>
        <w:bidi w:val="0"/>
        <w:spacing w:lineRule="auto" w:line="276" w:before="0" w:after="0"/>
        <w:ind w:hanging="0" w:left="0" w:right="0"/>
        <w:jc w:val="center"/>
        <w:rPr/>
      </w:pPr>
      <w:r>
        <w:rPr/>
      </w:r>
    </w:p>
    <w:p>
      <w:pPr>
        <w:pStyle w:val="Normal"/>
        <w:widowControl/>
        <w:suppressAutoHyphens w:val="true"/>
        <w:bidi w:val="0"/>
        <w:spacing w:lineRule="auto" w:line="276" w:before="0" w:after="0"/>
        <w:ind w:hanging="0" w:left="0" w:right="0"/>
        <w:jc w:val="center"/>
        <w:rPr/>
      </w:pPr>
      <w:r>
        <w:rPr/>
        <w:t>Умови</w:t>
      </w:r>
    </w:p>
    <w:p>
      <w:pPr>
        <w:pStyle w:val="Normal"/>
        <w:ind w:hanging="0"/>
        <w:jc w:val="center"/>
        <w:rPr>
          <w:bCs/>
          <w:szCs w:val="28"/>
        </w:rPr>
      </w:pPr>
      <w:r>
        <w:rPr>
          <w:bCs/>
          <w:szCs w:val="28"/>
        </w:rPr>
        <w:t>проведення добору</w:t>
      </w:r>
    </w:p>
    <w:p>
      <w:pPr>
        <w:pStyle w:val="Normal"/>
        <w:ind w:hanging="0"/>
        <w:jc w:val="center"/>
        <w:rPr>
          <w:bCs/>
          <w:szCs w:val="28"/>
        </w:rPr>
      </w:pPr>
      <w:r>
        <w:rPr>
          <w:bCs/>
          <w:szCs w:val="28"/>
        </w:rPr>
        <w:t>на зайняття посад державної служби категорії «Б» -</w:t>
      </w:r>
      <w:r>
        <w:rPr>
          <w:rFonts w:eastAsia="Arial Unicode MS"/>
        </w:rPr>
        <w:t xml:space="preserve"> заступника </w:t>
      </w:r>
      <w:r>
        <w:rPr>
          <w:rFonts w:eastAsia="Arial Unicode MS"/>
          <w:b w:val="false"/>
          <w:bCs w:val="false"/>
          <w:i w:val="false"/>
          <w:iCs w:val="false"/>
          <w:color w:val="1C1C1C"/>
          <w:szCs w:val="28"/>
        </w:rPr>
        <w:t>начальника відділу опрацювання документації №1</w:t>
      </w:r>
      <w:r>
        <w:rPr>
          <w:rFonts w:eastAsia="Arial Unicode MS"/>
          <w:b w:val="false"/>
          <w:bCs/>
          <w:i w:val="false"/>
          <w:iCs w:val="false"/>
          <w:color w:val="1C1C1C"/>
          <w:szCs w:val="28"/>
        </w:rPr>
        <w:t xml:space="preserve"> </w:t>
      </w:r>
      <w:r>
        <w:rPr>
          <w:rFonts w:eastAsia="Arial Unicode MS" w:cs="Times New Roman"/>
          <w:b w:val="false"/>
          <w:bCs/>
          <w:i w:val="false"/>
          <w:iCs w:val="false"/>
          <w:color w:val="000000"/>
          <w:kern w:val="0"/>
          <w:sz w:val="28"/>
          <w:szCs w:val="28"/>
          <w:lang w:val="uk-UA" w:eastAsia="uk-UA" w:bidi="uk-UA"/>
        </w:rPr>
        <w:t>управління з питань виплат</w:t>
      </w:r>
    </w:p>
    <w:p>
      <w:pPr>
        <w:pStyle w:val="Normal"/>
        <w:suppressAutoHyphens w:val="true"/>
        <w:spacing w:lineRule="auto" w:line="240"/>
        <w:ind w:hanging="0"/>
        <w:jc w:val="center"/>
        <w:rPr/>
      </w:pPr>
      <w:r>
        <w:rPr>
          <w:rStyle w:val="csd2c743de"/>
          <w:i w:val="false"/>
          <w:iCs w:val="false"/>
          <w:color w:val="1C1C1C"/>
        </w:rPr>
        <w:t xml:space="preserve"> </w:t>
      </w:r>
      <w:r>
        <w:rPr>
          <w:rStyle w:val="csd2c743de"/>
          <w:i w:val="false"/>
          <w:iCs w:val="false"/>
          <w:color w:val="1C1C1C"/>
        </w:rPr>
        <w:t>(прос.Берестейський, 92/2 )</w:t>
      </w:r>
    </w:p>
    <w:p>
      <w:pPr>
        <w:pStyle w:val="Normal"/>
        <w:ind w:hanging="0"/>
        <w:jc w:val="center"/>
        <w:rPr>
          <w:bCs/>
          <w:szCs w:val="28"/>
        </w:rPr>
      </w:pPr>
      <w:r>
        <w:rPr>
          <w:bCs/>
          <w:szCs w:val="28"/>
        </w:rPr>
      </w:r>
    </w:p>
    <w:tbl>
      <w:tblPr>
        <w:tblStyle w:val="af"/>
        <w:tblW w:w="9452" w:type="dxa"/>
        <w:jc w:val="left"/>
        <w:tblInd w:w="26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"/>
        <w:gridCol w:w="2978"/>
        <w:gridCol w:w="23"/>
        <w:gridCol w:w="5934"/>
      </w:tblGrid>
      <w:tr>
        <w:trPr/>
        <w:tc>
          <w:tcPr>
            <w:tcW w:w="9452" w:type="dxa"/>
            <w:gridSpan w:val="4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181"/>
              <w:jc w:val="center"/>
              <w:rPr>
                <w:b/>
                <w:bCs/>
              </w:rPr>
            </w:pPr>
            <w:r>
              <w:rPr>
                <w:rFonts w:eastAsia="Times New Roman" w:cs="Times New Roman"/>
                <w:b/>
                <w:bCs/>
                <w:kern w:val="0"/>
                <w:szCs w:val="24"/>
                <w:lang w:val="uk-UA" w:bidi="ar-SA"/>
              </w:rPr>
              <w:t>Загальні умови</w:t>
            </w:r>
          </w:p>
        </w:tc>
      </w:tr>
      <w:tr>
        <w:trPr>
          <w:trHeight w:val="3403" w:hRule="atLeast"/>
        </w:trPr>
        <w:tc>
          <w:tcPr>
            <w:tcW w:w="3495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Посадові обов’язки</w:t>
            </w:r>
          </w:p>
        </w:tc>
        <w:tc>
          <w:tcPr>
            <w:tcW w:w="5957" w:type="dxa"/>
            <w:gridSpan w:val="2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113" w:right="113"/>
              <w:jc w:val="both"/>
              <w:rPr>
                <w:color w:val="000000"/>
                <w:lang w:val="uk-UA"/>
              </w:rPr>
            </w:pPr>
            <w:bookmarkStart w:id="0" w:name="166"/>
            <w:bookmarkEnd w:id="0"/>
            <w:r>
              <w:rPr>
                <w:rStyle w:val="csd2c743de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lang w:val="uk-UA"/>
              </w:rPr>
              <w:t>1. Забезпечення опрацювання документації для виплати пенсій,  щомісячного довічного грошового утримання суддям у відставці, інших виплат відповідно до чинного законодавства.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113" w:right="113"/>
              <w:jc w:val="both"/>
              <w:rPr>
                <w:lang w:val="uk-UA"/>
              </w:rPr>
            </w:pPr>
            <w:bookmarkStart w:id="1" w:name="168"/>
            <w:bookmarkEnd w:id="1"/>
            <w:r>
              <w:rPr>
                <w:rStyle w:val="csd2c743de"/>
                <w:b w:val="false"/>
                <w:bCs w:val="false"/>
                <w:i w:val="false"/>
                <w:iCs w:val="false"/>
                <w:sz w:val="26"/>
                <w:szCs w:val="26"/>
                <w:lang w:val="uk-UA"/>
              </w:rPr>
              <w:t>2. Забезпечення нарахування та виплати пенсій, щомісячного довічного грошового утримання суддям у відставці, інших виплат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113" w:right="113"/>
              <w:jc w:val="both"/>
              <w:rPr>
                <w:color w:val="000000"/>
                <w:lang w:val="uk-UA"/>
              </w:rPr>
            </w:pPr>
            <w:bookmarkStart w:id="2" w:name="174"/>
            <w:bookmarkEnd w:id="2"/>
            <w:r>
              <w:rPr>
                <w:rStyle w:val="csd2c743de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lang w:val="uk-UA"/>
              </w:rPr>
              <w:t>3. Забезпечення виконання контрольних документів, звернень громадян з питань виплати пенсій, щомісячного довічного грошового утримання суддям у відставці, інших виплат.</w:t>
            </w:r>
          </w:p>
        </w:tc>
      </w:tr>
      <w:tr>
        <w:trPr/>
        <w:tc>
          <w:tcPr>
            <w:tcW w:w="3495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Умови оплати праці</w:t>
            </w:r>
          </w:p>
        </w:tc>
        <w:tc>
          <w:tcPr>
            <w:tcW w:w="5957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rPr>
                <w:bCs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6"/>
                <w:szCs w:val="26"/>
                <w:lang w:val="uk-UA" w:bidi="ar-SA"/>
              </w:rPr>
              <w:t xml:space="preserve">Посадовий оклад – </w:t>
            </w:r>
            <w:r>
              <w:rPr>
                <w:rFonts w:eastAsia="Times New Roman" w:cs="Times New Roman"/>
                <w:bCs/>
                <w:kern w:val="0"/>
                <w:sz w:val="26"/>
                <w:szCs w:val="28"/>
                <w:lang w:val="uk-UA" w:bidi="ar-SA"/>
              </w:rPr>
              <w:t>25817</w:t>
            </w:r>
            <w:r>
              <w:rPr>
                <w:rFonts w:eastAsia="Times New Roman" w:cs="Times New Roman"/>
                <w:b/>
                <w:bCs/>
                <w:i/>
                <w:iCs/>
                <w:color w:val="FF0000"/>
                <w:kern w:val="0"/>
                <w:sz w:val="26"/>
                <w:szCs w:val="26"/>
                <w:lang w:val="uk-UA" w:bidi="ar-SA"/>
              </w:rPr>
              <w:t xml:space="preserve"> </w:t>
            </w:r>
            <w:r>
              <w:rPr>
                <w:rStyle w:val="csd2c743de"/>
                <w:rFonts w:eastAsia="Times New Roman" w:cs="Times New Roman"/>
                <w:b w:val="false"/>
                <w:bCs w:val="false"/>
                <w:i w:val="false"/>
                <w:iCs w:val="false"/>
                <w:color w:val="1C1C1C"/>
                <w:kern w:val="0"/>
                <w:sz w:val="26"/>
                <w:szCs w:val="26"/>
                <w:lang w:val="uk-UA" w:bidi="ar-SA"/>
              </w:rPr>
              <w:t>грн.</w:t>
            </w:r>
            <w:r>
              <w:rPr>
                <w:rStyle w:val="csd2c743de"/>
                <w:rFonts w:eastAsia="Times New Roman" w:cs="Times New Roman"/>
                <w:b/>
                <w:bCs/>
                <w:color w:val="FF0000"/>
                <w:kern w:val="0"/>
                <w:sz w:val="26"/>
                <w:szCs w:val="26"/>
                <w:lang w:val="uk-UA" w:bidi="ar-SA"/>
              </w:rPr>
              <w:t xml:space="preserve"> </w:t>
            </w:r>
            <w:r>
              <w:rPr>
                <w:rStyle w:val="csd2c743de"/>
                <w:rFonts w:eastAsia="Times New Roman" w:cs="Times New Roman"/>
                <w:bCs/>
                <w:color w:val="000000"/>
                <w:kern w:val="0"/>
                <w:sz w:val="26"/>
                <w:szCs w:val="26"/>
                <w:lang w:val="uk-UA" w:bidi="ar-SA"/>
              </w:rPr>
              <w:t xml:space="preserve"> згідно із класифікацією посад; доплати, компенсації відповідно до статті 52 Закону України «Про державну службу»; надбавка за вислугу років, премія та грошова допомога відповідно до прикінцевих положень Закону України «Про державний Бюджет України на 2026 рік;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rPr>
                <w:bCs/>
                <w:szCs w:val="24"/>
              </w:rPr>
            </w:pPr>
            <w:r>
              <w:rPr>
                <w:rStyle w:val="csd2c743de"/>
                <w:rFonts w:eastAsia="Times New Roman" w:cs="Times New Roman"/>
                <w:bCs/>
                <w:color w:val="000000"/>
                <w:kern w:val="0"/>
                <w:sz w:val="26"/>
                <w:szCs w:val="26"/>
                <w:lang w:val="uk-UA" w:bidi="ar-SA"/>
              </w:rPr>
              <w:t>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</w:tc>
      </w:tr>
      <w:tr>
        <w:trPr>
          <w:trHeight w:val="2415" w:hRule="atLeast"/>
        </w:trPr>
        <w:tc>
          <w:tcPr>
            <w:tcW w:w="3495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Інформація про строковість</w:t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чи безстроковість</w:t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призначення на посаду</w:t>
            </w:r>
          </w:p>
        </w:tc>
        <w:tc>
          <w:tcPr>
            <w:tcW w:w="5957" w:type="dxa"/>
            <w:gridSpan w:val="2"/>
            <w:tcBorders/>
          </w:tcPr>
          <w:p>
            <w:pPr>
              <w:pStyle w:val="Style17"/>
              <w:widowControl/>
              <w:suppressAutoHyphens w:val="true"/>
              <w:spacing w:lineRule="auto" w:line="240" w:before="0" w:after="0"/>
              <w:ind w:hanging="0"/>
              <w:jc w:val="left"/>
              <w:rPr>
                <w:bCs/>
                <w:szCs w:val="24"/>
              </w:rPr>
            </w:pPr>
            <w:r>
              <w:rPr>
                <w:rFonts w:eastAsia="Times New Roman" w:cs="Times New Roman"/>
                <w:kern w:val="0"/>
                <w:sz w:val="27"/>
                <w:szCs w:val="27"/>
                <w:lang w:val="uk-UA" w:bidi="ar-SA"/>
              </w:rPr>
              <w:t>Строково, відповідно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</w:t>
            </w:r>
          </w:p>
        </w:tc>
      </w:tr>
      <w:tr>
        <w:trPr>
          <w:trHeight w:val="1782" w:hRule="atLeast"/>
        </w:trPr>
        <w:tc>
          <w:tcPr>
            <w:tcW w:w="9452" w:type="dxa"/>
            <w:gridSpan w:val="4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center"/>
              <w:rPr>
                <w:b/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auto"/>
                <w:kern w:val="0"/>
                <w:sz w:val="28"/>
                <w:lang w:val="uk-UA" w:eastAsia="ru-RU" w:bidi="ar-SA"/>
              </w:rPr>
              <w:t>Кваліфікаційні вимоги</w:t>
            </w:r>
          </w:p>
          <w:p>
            <w:pPr>
              <w:pStyle w:val="Normal"/>
              <w:spacing w:lineRule="auto" w:line="240"/>
              <w:ind w:hanging="0" w:right="101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</w:r>
          </w:p>
          <w:p>
            <w:pPr>
              <w:pStyle w:val="Normal"/>
              <w:spacing w:lineRule="auto" w:line="240"/>
              <w:ind w:hanging="0" w:right="101"/>
              <w:jc w:val="center"/>
              <w:rPr>
                <w:b/>
                <w:bCs/>
                <w:i/>
                <w:iCs/>
                <w:u w:val="none"/>
              </w:rPr>
            </w:pPr>
            <w:r>
              <w:rPr>
                <w:b/>
                <w:bCs/>
                <w:i/>
                <w:iCs/>
                <w:u w:val="none"/>
              </w:rPr>
              <w:t>Обов’язковою</w:t>
            </w:r>
            <w:r>
              <w:rPr>
                <w:b/>
                <w:bCs/>
                <w:i/>
                <w:iCs/>
                <w:spacing w:val="80"/>
                <w:u w:val="none"/>
              </w:rPr>
              <w:t xml:space="preserve"> </w:t>
            </w:r>
            <w:r>
              <w:rPr>
                <w:b/>
                <w:bCs/>
                <w:i/>
                <w:iCs/>
                <w:u w:val="none"/>
              </w:rPr>
              <w:t>вимогою</w:t>
            </w:r>
            <w:r>
              <w:rPr>
                <w:b/>
                <w:bCs/>
                <w:i/>
                <w:iCs/>
                <w:spacing w:val="80"/>
                <w:u w:val="none"/>
              </w:rPr>
              <w:t xml:space="preserve"> </w:t>
            </w:r>
            <w:r>
              <w:rPr>
                <w:b/>
                <w:bCs/>
                <w:i/>
                <w:iCs/>
                <w:u w:val="none"/>
              </w:rPr>
              <w:t>до</w:t>
            </w:r>
            <w:r>
              <w:rPr>
                <w:b/>
                <w:bCs/>
                <w:i/>
                <w:iCs/>
                <w:spacing w:val="80"/>
                <w:u w:val="none"/>
              </w:rPr>
              <w:t xml:space="preserve"> </w:t>
            </w:r>
            <w:r>
              <w:rPr>
                <w:b/>
                <w:bCs/>
                <w:i/>
                <w:iCs/>
                <w:u w:val="none"/>
              </w:rPr>
              <w:t>осіб,</w:t>
            </w:r>
            <w:r>
              <w:rPr>
                <w:b/>
                <w:bCs/>
                <w:i/>
                <w:iCs/>
                <w:spacing w:val="80"/>
                <w:u w:val="none"/>
              </w:rPr>
              <w:t xml:space="preserve"> </w:t>
            </w:r>
            <w:r>
              <w:rPr>
                <w:b/>
                <w:bCs/>
                <w:i/>
                <w:iCs/>
                <w:u w:val="none"/>
              </w:rPr>
              <w:t>які</w:t>
            </w:r>
            <w:r>
              <w:rPr>
                <w:b/>
                <w:bCs/>
                <w:i/>
                <w:iCs/>
                <w:spacing w:val="80"/>
                <w:u w:val="none"/>
              </w:rPr>
              <w:t xml:space="preserve"> </w:t>
            </w:r>
            <w:r>
              <w:rPr>
                <w:b/>
                <w:bCs/>
                <w:i/>
                <w:iCs/>
                <w:u w:val="none"/>
              </w:rPr>
              <w:t>претендують</w:t>
            </w:r>
            <w:r>
              <w:rPr>
                <w:b/>
                <w:bCs/>
                <w:i/>
                <w:iCs/>
                <w:spacing w:val="80"/>
                <w:u w:val="none"/>
              </w:rPr>
              <w:t xml:space="preserve"> </w:t>
            </w:r>
            <w:r>
              <w:rPr>
                <w:b/>
                <w:bCs/>
                <w:i/>
                <w:iCs/>
                <w:u w:val="none"/>
              </w:rPr>
              <w:t>на</w:t>
            </w:r>
            <w:r>
              <w:rPr>
                <w:b/>
                <w:bCs/>
                <w:i/>
                <w:iCs/>
                <w:spacing w:val="80"/>
                <w:u w:val="none"/>
              </w:rPr>
              <w:t xml:space="preserve"> </w:t>
            </w:r>
            <w:r>
              <w:rPr>
                <w:b/>
                <w:bCs/>
                <w:i/>
                <w:iCs/>
                <w:u w:val="none"/>
              </w:rPr>
              <w:t>посаду,</w:t>
            </w:r>
            <w:r>
              <w:rPr>
                <w:b/>
                <w:bCs/>
                <w:i/>
                <w:iCs/>
                <w:spacing w:val="80"/>
                <w:u w:val="none"/>
              </w:rPr>
              <w:t xml:space="preserve"> </w:t>
            </w:r>
            <w:r>
              <w:rPr>
                <w:b/>
                <w:bCs/>
                <w:i/>
                <w:iCs/>
                <w:u w:val="none"/>
              </w:rPr>
              <w:t>є наявність</w:t>
            </w:r>
            <w:r>
              <w:rPr>
                <w:b/>
                <w:bCs/>
                <w:i/>
                <w:iCs/>
                <w:spacing w:val="-1"/>
                <w:u w:val="none"/>
              </w:rPr>
              <w:t xml:space="preserve"> </w:t>
            </w:r>
            <w:r>
              <w:rPr>
                <w:b/>
                <w:bCs/>
                <w:i/>
                <w:iCs/>
                <w:u w:val="none"/>
              </w:rPr>
              <w:t xml:space="preserve">громадянства України та відсутність громадянства інших </w:t>
            </w:r>
            <w:r>
              <w:rPr>
                <w:b/>
                <w:bCs/>
                <w:i/>
                <w:iCs/>
                <w:spacing w:val="-2"/>
                <w:u w:val="none"/>
              </w:rPr>
              <w:t>держав.</w:t>
            </w:r>
          </w:p>
        </w:tc>
      </w:tr>
      <w:tr>
        <w:trPr/>
        <w:tc>
          <w:tcPr>
            <w:tcW w:w="517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1.</w:t>
            </w:r>
          </w:p>
        </w:tc>
        <w:tc>
          <w:tcPr>
            <w:tcW w:w="3001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Освіта</w:t>
            </w:r>
          </w:p>
        </w:tc>
        <w:tc>
          <w:tcPr>
            <w:tcW w:w="593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rPr>
                <w:bCs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Cs w:val="28"/>
                <w:lang w:val="uk-UA" w:bidi="ar-SA"/>
              </w:rPr>
              <w:t>ступінь вищої освіти – не нижче магістра</w:t>
            </w:r>
            <w:r>
              <w:rPr>
                <w:rFonts w:eastAsia="Times New Roman" w:cs="Times New Roman"/>
                <w:bCs/>
                <w:kern w:val="0"/>
                <w:szCs w:val="24"/>
                <w:lang w:val="uk-UA" w:bidi="ar-SA"/>
              </w:rPr>
              <w:t xml:space="preserve"> або спеціаліста</w:t>
            </w:r>
          </w:p>
        </w:tc>
      </w:tr>
      <w:tr>
        <w:trPr/>
        <w:tc>
          <w:tcPr>
            <w:tcW w:w="517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2.</w:t>
            </w:r>
          </w:p>
        </w:tc>
        <w:tc>
          <w:tcPr>
            <w:tcW w:w="3001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Досвід роботи</w:t>
            </w:r>
          </w:p>
        </w:tc>
        <w:tc>
          <w:tcPr>
            <w:tcW w:w="593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28"/>
              <w:rPr>
                <w:bCs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Cs w:val="20"/>
                <w:shd w:fill="FFFFFF" w:val="clear"/>
                <w:lang w:val="uk-UA" w:bidi="ar-SA"/>
              </w:rPr>
              <w:t>Досвід роботи на посадах державної служби категорій «Б» чи «В» або досвід служби в органах місцевого самоврядування, або досвід роботи на керівних посадах підприємств, установ та організацій незалежно від форми власності не менше двох років.</w:t>
            </w:r>
          </w:p>
        </w:tc>
      </w:tr>
      <w:tr>
        <w:trPr>
          <w:trHeight w:val="495" w:hRule="atLeast"/>
        </w:trPr>
        <w:tc>
          <w:tcPr>
            <w:tcW w:w="517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3.</w:t>
            </w:r>
          </w:p>
        </w:tc>
        <w:tc>
          <w:tcPr>
            <w:tcW w:w="3001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Володіння державною мовою</w:t>
            </w:r>
          </w:p>
        </w:tc>
        <w:tc>
          <w:tcPr>
            <w:tcW w:w="593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rPr>
                <w:bCs/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uk-UA" w:bidi="ar-SA"/>
              </w:rPr>
              <w:t>вільне володіння державною мовою</w:t>
            </w:r>
          </w:p>
        </w:tc>
      </w:tr>
      <w:tr>
        <w:trPr>
          <w:trHeight w:val="239" w:hRule="atLeast"/>
        </w:trPr>
        <w:tc>
          <w:tcPr>
            <w:tcW w:w="51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</w:r>
          </w:p>
        </w:tc>
        <w:tc>
          <w:tcPr>
            <w:tcW w:w="8935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 w:left="169"/>
              <w:jc w:val="center"/>
              <w:rPr>
                <w:b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Cs w:val="24"/>
                <w:lang w:val="uk-UA" w:bidi="ar-SA"/>
              </w:rPr>
              <w:t>Вимоги до компетентності</w:t>
            </w:r>
          </w:p>
        </w:tc>
      </w:tr>
      <w:tr>
        <w:trPr>
          <w:trHeight w:val="1883" w:hRule="atLeast"/>
        </w:trPr>
        <w:tc>
          <w:tcPr>
            <w:tcW w:w="51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uk-UA" w:bidi="ar-SA"/>
              </w:rPr>
              <w:t>1.</w:t>
            </w:r>
          </w:p>
        </w:tc>
        <w:tc>
          <w:tcPr>
            <w:tcW w:w="29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right="106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Управління персоналом</w:t>
            </w:r>
          </w:p>
        </w:tc>
        <w:tc>
          <w:tcPr>
            <w:tcW w:w="5957" w:type="dxa"/>
            <w:gridSpan w:val="2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делегування та управління результатами;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управління мотивацією;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наставництво та розвиток талантів;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стимулювання командної роботи та співробітництва</w:t>
            </w:r>
          </w:p>
        </w:tc>
      </w:tr>
      <w:tr>
        <w:trPr>
          <w:trHeight w:val="2584" w:hRule="atLeast"/>
        </w:trPr>
        <w:tc>
          <w:tcPr>
            <w:tcW w:w="51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uk-UA" w:bidi="ar-SA"/>
              </w:rPr>
              <w:t>2.</w:t>
            </w:r>
          </w:p>
        </w:tc>
        <w:tc>
          <w:tcPr>
            <w:tcW w:w="297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>Обґрунтування власної позиції та аналітичні здібності</w:t>
            </w:r>
          </w:p>
        </w:tc>
        <w:tc>
          <w:tcPr>
            <w:tcW w:w="5957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57"/>
                <w:tab w:val="left" w:pos="36" w:leader="none"/>
              </w:tabs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kern w:val="0"/>
                <w:szCs w:val="28"/>
                <w:lang w:val="uk-UA" w:bidi="ar-SA"/>
              </w:rPr>
              <w:t xml:space="preserve">- </w:t>
            </w: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чітке і точне формулювання мети, цілей і завдань службової діяльності;</w:t>
            </w:r>
          </w:p>
          <w:p>
            <w:pPr>
              <w:pStyle w:val="Normal"/>
              <w:widowControl w:val="false"/>
              <w:tabs>
                <w:tab w:val="clear" w:pos="57"/>
                <w:tab w:val="left" w:pos="36" w:leader="none"/>
                <w:tab w:val="left" w:pos="398" w:leader="none"/>
              </w:tabs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- комплексний підхід до виконання завдань, виявлення ризиків;</w:t>
            </w:r>
          </w:p>
          <w:p>
            <w:pPr>
              <w:pStyle w:val="ListParagraph"/>
              <w:widowControl/>
              <w:tabs>
                <w:tab w:val="clear" w:pos="57"/>
                <w:tab w:val="left" w:pos="36" w:leader="none"/>
              </w:tabs>
              <w:suppressAutoHyphens w:val="true"/>
              <w:spacing w:lineRule="auto" w:line="240" w:before="0" w:after="0"/>
              <w:ind w:hanging="0" w:left="36" w:right="34"/>
              <w:contextualSpacing/>
              <w:rPr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- розуміння змісту завдання і його кінцевих результатів, самостійне визначення можливих шляхів досягнення</w:t>
            </w:r>
          </w:p>
        </w:tc>
      </w:tr>
      <w:tr>
        <w:trPr>
          <w:trHeight w:val="3320" w:hRule="atLeast"/>
        </w:trPr>
        <w:tc>
          <w:tcPr>
            <w:tcW w:w="51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uk-UA" w:bidi="ar-SA"/>
              </w:rPr>
              <w:t>3.</w:t>
            </w:r>
          </w:p>
        </w:tc>
        <w:tc>
          <w:tcPr>
            <w:tcW w:w="29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right="106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Відповідальність</w:t>
            </w:r>
          </w:p>
        </w:tc>
        <w:tc>
          <w:tcPr>
            <w:tcW w:w="5957" w:type="dxa"/>
            <w:gridSpan w:val="2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57"/>
                <w:tab w:val="left" w:pos="36" w:leader="none"/>
              </w:tabs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усвідомлення важливості якісного виконання своїх посадових обов'язків з дотриманням строків та встановлених процедур;</w:t>
            </w:r>
          </w:p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57"/>
                <w:tab w:val="left" w:pos="36" w:leader="none"/>
              </w:tabs>
              <w:suppressAutoHyphens w:val="true"/>
              <w:spacing w:lineRule="auto" w:line="240" w:before="0" w:after="0"/>
              <w:ind w:hanging="0" w:left="36" w:right="34"/>
              <w:contextualSpacing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57"/>
                <w:tab w:val="left" w:pos="36" w:leader="none"/>
              </w:tabs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здатність брати на себе зобов’язання, чітко їх дотримуватись і виконувати</w:t>
            </w:r>
          </w:p>
        </w:tc>
      </w:tr>
      <w:tr>
        <w:trPr>
          <w:trHeight w:val="2775" w:hRule="atLeast"/>
        </w:trPr>
        <w:tc>
          <w:tcPr>
            <w:tcW w:w="51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uk-UA" w:bidi="ar-SA"/>
              </w:rPr>
              <w:t>4.</w:t>
            </w:r>
          </w:p>
        </w:tc>
        <w:tc>
          <w:tcPr>
            <w:tcW w:w="2978" w:type="dxa"/>
            <w:tcBorders/>
          </w:tcPr>
          <w:p>
            <w:pPr>
              <w:pStyle w:val="Normal"/>
              <w:widowControl w:val="false"/>
              <w:tabs>
                <w:tab w:val="clear" w:pos="57"/>
                <w:tab w:val="left" w:pos="1903" w:leader="none"/>
              </w:tabs>
              <w:suppressAutoHyphens w:val="true"/>
              <w:spacing w:lineRule="auto" w:line="240" w:before="0" w:after="0"/>
              <w:ind w:hanging="0" w:right="106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Комунікація та взаємодія</w:t>
            </w:r>
          </w:p>
        </w:tc>
        <w:tc>
          <w:tcPr>
            <w:tcW w:w="5957" w:type="dxa"/>
            <w:gridSpan w:val="2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57"/>
                <w:tab w:val="left" w:pos="36" w:leader="none"/>
                <w:tab w:val="left" w:pos="420" w:leader="none"/>
              </w:tabs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вміння визначати заінтересовані і впливові сторони та розбудовувати партнерські відносини;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57"/>
                <w:tab w:val="left" w:pos="36" w:leader="none"/>
              </w:tabs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здатність ефективно взаємодіяти, дослухатися, сприймати та викладати думку;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57"/>
                <w:tab w:val="left" w:pos="36" w:leader="none"/>
              </w:tabs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вміння публічно виступати перед аудиторією;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57"/>
                <w:tab w:val="left" w:pos="36" w:leader="none"/>
                <w:tab w:val="left" w:pos="353" w:leader="none"/>
              </w:tabs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здатність переконувати інших за допомогою аргументів та послідовної комунікації</w:t>
            </w:r>
          </w:p>
        </w:tc>
      </w:tr>
      <w:tr>
        <w:trPr>
          <w:trHeight w:val="615" w:hRule="atLeast"/>
        </w:trPr>
        <w:tc>
          <w:tcPr>
            <w:tcW w:w="9452" w:type="dxa"/>
            <w:gridSpan w:val="4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 w:left="0"/>
              <w:jc w:val="center"/>
              <w:rPr>
                <w:b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Cs w:val="24"/>
                <w:lang w:val="uk-UA" w:bidi="ar-SA"/>
              </w:rPr>
              <w:t>Професійні знання</w:t>
            </w:r>
          </w:p>
        </w:tc>
      </w:tr>
      <w:tr>
        <w:trPr>
          <w:trHeight w:val="450" w:hRule="atLeast"/>
        </w:trPr>
        <w:tc>
          <w:tcPr>
            <w:tcW w:w="3518" w:type="dxa"/>
            <w:gridSpan w:val="3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color w:val="auto"/>
                <w:kern w:val="0"/>
                <w:sz w:val="28"/>
                <w:lang w:val="uk-UA" w:eastAsia="ru-RU" w:bidi="ar-SA"/>
              </w:rPr>
              <w:t>Вимога</w:t>
            </w:r>
          </w:p>
        </w:tc>
        <w:tc>
          <w:tcPr>
            <w:tcW w:w="59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/>
            </w:pPr>
            <w:r>
              <w:rPr>
                <w:rFonts w:eastAsia="Times New Roman" w:cs="Times New Roman"/>
                <w:b/>
                <w:kern w:val="0"/>
                <w:szCs w:val="24"/>
                <w:lang w:val="uk-UA" w:bidi="ar-SA"/>
              </w:rPr>
              <w:t>Компоненти вимоги</w:t>
            </w:r>
          </w:p>
        </w:tc>
      </w:tr>
      <w:tr>
        <w:trPr>
          <w:trHeight w:val="210" w:hRule="atLeast"/>
        </w:trPr>
        <w:tc>
          <w:tcPr>
            <w:tcW w:w="517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1.</w:t>
            </w:r>
          </w:p>
        </w:tc>
        <w:tc>
          <w:tcPr>
            <w:tcW w:w="3001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Знання законодавства</w:t>
            </w:r>
          </w:p>
        </w:tc>
        <w:tc>
          <w:tcPr>
            <w:tcW w:w="59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/>
            </w:pPr>
            <w:r>
              <w:rPr>
                <w:rFonts w:eastAsia="Times New Roman" w:cs="Times New Roman"/>
                <w:kern w:val="0"/>
                <w:szCs w:val="28"/>
                <w:lang w:val="uk-UA" w:bidi="ar-SA"/>
              </w:rPr>
              <w:t>Знання:</w:t>
            </w:r>
          </w:p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8"/>
              </w:rPr>
            </w:pPr>
            <w:r>
              <w:rPr>
                <w:rFonts w:eastAsia="Times New Roman" w:cs="Times New Roman"/>
                <w:kern w:val="0"/>
                <w:szCs w:val="28"/>
                <w:lang w:val="uk-UA" w:bidi="ar-SA"/>
              </w:rPr>
              <w:t>- Конституції України;</w:t>
            </w:r>
          </w:p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8"/>
              </w:rPr>
            </w:pPr>
            <w:r>
              <w:rPr>
                <w:rFonts w:eastAsia="Times New Roman" w:cs="Times New Roman"/>
                <w:kern w:val="0"/>
                <w:szCs w:val="28"/>
                <w:lang w:val="uk-UA" w:bidi="ar-SA"/>
              </w:rPr>
              <w:t>- Закону України «Про запобігання корупції»;</w:t>
            </w:r>
          </w:p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8"/>
              </w:rPr>
            </w:pPr>
            <w:r>
              <w:rPr>
                <w:rFonts w:eastAsia="Times New Roman" w:cs="Times New Roman"/>
                <w:kern w:val="0"/>
                <w:szCs w:val="28"/>
                <w:lang w:val="uk-UA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Cs w:val="28"/>
                <w:lang w:val="uk-UA" w:bidi="ar-SA"/>
              </w:rPr>
              <w:t>- Закону України «Про державну службу»;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3"/>
              <w:rPr>
                <w:szCs w:val="28"/>
                <w:lang w:val="ru-RU" w:eastAsia="uk-UA"/>
              </w:rPr>
            </w:pPr>
            <w:r>
              <w:rPr>
                <w:rFonts w:eastAsia="Times New Roman" w:cs="Times New Roman"/>
                <w:kern w:val="0"/>
                <w:szCs w:val="28"/>
                <w:lang w:val="uk-UA" w:bidi="ar-SA"/>
              </w:rPr>
              <w:t>-</w:t>
            </w:r>
            <w:r>
              <w:rPr>
                <w:rFonts w:eastAsia="Times New Roman" w:cs="Times New Roman"/>
                <w:kern w:val="0"/>
                <w:szCs w:val="28"/>
                <w:lang w:val="uk-UA" w:eastAsia="uk-UA" w:bidi="ar-SA"/>
              </w:rPr>
              <w:t xml:space="preserve"> Закону України </w:t>
            </w:r>
            <w:r>
              <w:rPr>
                <w:rFonts w:eastAsia="Times New Roman" w:cs="Times New Roman"/>
                <w:kern w:val="0"/>
                <w:szCs w:val="28"/>
                <w:lang w:val="uk-UA" w:bidi="ar-SA"/>
              </w:rPr>
              <w:t>«</w:t>
            </w:r>
            <w:r>
              <w:rPr>
                <w:rFonts w:eastAsia="Times New Roman" w:cs="Times New Roman"/>
                <w:kern w:val="0"/>
                <w:szCs w:val="28"/>
                <w:lang w:val="uk-UA" w:eastAsia="uk-UA" w:bidi="ar-SA"/>
              </w:rPr>
              <w:t>Про доступ до публічної інформації</w:t>
            </w:r>
            <w:r>
              <w:rPr>
                <w:rFonts w:eastAsia="Times New Roman" w:cs="Times New Roman"/>
                <w:kern w:val="0"/>
                <w:szCs w:val="28"/>
                <w:lang w:val="uk-UA" w:bidi="ar-SA"/>
              </w:rPr>
              <w:t>»;</w:t>
            </w:r>
          </w:p>
          <w:p>
            <w:pPr>
              <w:pStyle w:val="cs66e64e55"/>
              <w:widowControl/>
              <w:suppressAutoHyphens w:val="true"/>
              <w:spacing w:beforeAutospacing="0" w:before="0" w:afterAutospacing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eastAsia="uk-UA" w:bidi="ar-SA"/>
              </w:rPr>
              <w:t xml:space="preserve">- Закону України 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«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eastAsia="uk-UA" w:bidi="ar-SA"/>
              </w:rPr>
              <w:t>Про захист персональних даних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»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eastAsia="uk-UA" w:bidi="ar-SA"/>
              </w:rPr>
              <w:t>.</w:t>
            </w:r>
          </w:p>
        </w:tc>
      </w:tr>
      <w:tr>
        <w:trPr>
          <w:trHeight w:val="958" w:hRule="atLeast"/>
        </w:trPr>
        <w:tc>
          <w:tcPr>
            <w:tcW w:w="517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2.</w:t>
            </w:r>
          </w:p>
        </w:tc>
        <w:tc>
          <w:tcPr>
            <w:tcW w:w="3001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Знання законодавства у сфері</w:t>
            </w:r>
          </w:p>
        </w:tc>
        <w:tc>
          <w:tcPr>
            <w:tcW w:w="5934" w:type="dxa"/>
            <w:tcBorders/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>
              <w:rPr>
                <w:color w:val="000000"/>
                <w:szCs w:val="28"/>
                <w:lang w:val="ru-RU" w:eastAsia="uk-UA"/>
              </w:rPr>
              <w:t>Закон України “Про загальнообов'язкове державне пенсійне страхування”;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- Закон України “Про звернення громадян”;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- Закон України «Про забезпечення прав і свобод внутрішньо переміщених осіб»;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- Законом України «Про гарантії держави щодо виконання судових рішень»;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- Закон України “Про статус і соціальний захист громадян, які постраждали внаслідок Чорнобильської катастрофи”;</w:t>
            </w:r>
          </w:p>
          <w:p>
            <w:pPr>
              <w:pStyle w:val="Normal"/>
              <w:spacing w:lineRule="auto" w:line="240"/>
              <w:ind w:hanging="0"/>
              <w:rPr>
                <w:i w:val="false"/>
                <w:iCs w:val="false"/>
                <w:color w:val="1C1C1C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1C1C1C"/>
                <w:kern w:val="0"/>
                <w:szCs w:val="28"/>
                <w:shd w:fill="FFFFFF" w:val="clear"/>
                <w:lang w:val="uk-UA" w:bidi="ar-SA"/>
              </w:rPr>
              <w:t>- Закон України “Про статус ветеранів війни, гарантії їх соціального захисту”.</w:t>
            </w:r>
          </w:p>
        </w:tc>
      </w:tr>
    </w:tbl>
    <w:p>
      <w:pPr>
        <w:pStyle w:val="Style17"/>
        <w:jc w:val="center"/>
        <w:rPr>
          <w:bCs/>
          <w:szCs w:val="28"/>
        </w:rPr>
      </w:pPr>
      <w:r>
        <w:rPr>
          <w:bCs/>
          <w:szCs w:val="28"/>
        </w:rPr>
        <w:t>______________________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567" w:top="1134" w:footer="0" w:bottom="709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OpenSymbol">
    <w:altName w:val="Arial Unicode MS"/>
    <w:charset w:val="01"/>
    <w:family w:val="auto"/>
    <w:pitch w:val="variable"/>
  </w:font>
  <w:font w:name="Courier New">
    <w:charset w:val="01"/>
    <w:family w:val="modern"/>
    <w:pitch w:val="fixed"/>
  </w:font>
  <w:font w:name="Noto Sans Symbols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Рам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Normal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0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Normal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0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81455" cy="173990"/>
              <wp:effectExtent l="0" t="0" r="0" b="0"/>
              <wp:wrapSquare wrapText="bothSides"/>
              <wp:docPr id="2" name="Рамка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8140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Normal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000000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  <w:sz w:val="24"/>
                              <w:szCs w:val="24"/>
                            </w:rPr>
                            <w:t>3</w:t>
                          </w:r>
                          <w:r>
                            <w:rPr>
                              <w:color w:val="000000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182.6pt;margin-top:0.05pt;width:116.6pt;height:13.65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Normal"/>
                      <w:rPr>
                        <w:sz w:val="24"/>
                        <w:szCs w:val="24"/>
                      </w:rPr>
                    </w:pPr>
                    <w:r>
                      <w:rPr>
                        <w:color w:val="000000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color w:val="000000"/>
                        <w:sz w:val="24"/>
                        <w:szCs w:val="24"/>
                      </w:rPr>
                      <w:instrText xml:space="preserve"> PAGE </w:instrText>
                    </w:r>
                    <w:r>
                      <w:rPr>
                        <w:color w:val="000000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color w:val="000000"/>
                        <w:sz w:val="24"/>
                        <w:szCs w:val="24"/>
                      </w:rPr>
                      <w:t>3</w:t>
                    </w:r>
                    <w:r>
                      <w:rPr>
                        <w:color w:val="000000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57"/>
  <w:autoHyphenation w:val="true"/>
  <w:hyphenationZone w:val="360"/>
  <w:compat>
    <w:doNotBreakWrappedTables/>
    <w:compatSetting w:name="compatibilityMode" w:uri="http://schemas.microsoft.com/office/word" w:val="12"/>
  </w:compat>
  <w:docVars>
    <w:docVar w:name="StepHandle" w:val="262696"/>
  </w:docVars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uk-UA" w:eastAsia="ru-RU" w:bidi="ar-SA"/>
    </w:rPr>
  </w:style>
  <w:style w:type="paragraph" w:styleId="Heading1">
    <w:name w:val="heading 1"/>
    <w:basedOn w:val="Normal"/>
    <w:next w:val="Normal"/>
    <w:qFormat/>
    <w:rsid w:val="00a0742f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a0742f"/>
    <w:pPr>
      <w:keepNext w:val="true"/>
      <w:spacing w:before="120" w:after="0"/>
      <w:ind w:left="567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a0742f"/>
    <w:pPr>
      <w:keepNext w:val="true"/>
      <w:spacing w:before="120" w:after="0"/>
      <w:ind w:lef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a0742f"/>
    <w:pPr>
      <w:keepNext w:val="true"/>
      <w:spacing w:before="120" w:after="0"/>
      <w:ind w:lef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99"/>
    <w:unhideWhenUsed/>
    <w:rsid w:val="009a0ab5"/>
    <w:rPr>
      <w:color w:val="0000FF"/>
      <w:u w:val="single"/>
    </w:rPr>
  </w:style>
  <w:style w:type="character" w:styleId="Style10" w:customStyle="1">
    <w:name w:val="Текст выноски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о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ой текст с отступом 3 Знак"/>
    <w:basedOn w:val="DefaultParagraphFont"/>
    <w:link w:val="BodyTextIndent3"/>
    <w:uiPriority w:val="99"/>
    <w:qFormat/>
    <w:rsid w:val="001f4aca"/>
    <w:rPr>
      <w:rFonts w:eastAsia="Calibri" w:cs="" w:cstheme="minorBidi" w:eastAsiaTheme="minorHAnsi"/>
      <w:sz w:val="16"/>
      <w:szCs w:val="16"/>
      <w:lang w:eastAsia="en-US"/>
    </w:rPr>
  </w:style>
  <w:style w:type="character" w:styleId="Style12" w:customStyle="1">
    <w:name w:val="Верхний колонтитул Знак"/>
    <w:basedOn w:val="DefaultParagraphFont"/>
    <w:uiPriority w:val="99"/>
    <w:qFormat/>
    <w:rsid w:val="00125745"/>
    <w:rPr>
      <w:sz w:val="28"/>
      <w:lang w:eastAsia="ru-RU"/>
    </w:rPr>
  </w:style>
  <w:style w:type="character" w:styleId="Style13" w:customStyle="1">
    <w:name w:val="Подзаголовок Знак"/>
    <w:basedOn w:val="DefaultParagraphFont"/>
    <w:uiPriority w:val="99"/>
    <w:qFormat/>
    <w:rsid w:val="00de0c41"/>
    <w:rPr>
      <w:b/>
      <w:sz w:val="28"/>
    </w:rPr>
  </w:style>
  <w:style w:type="character" w:styleId="rvts0" w:customStyle="1">
    <w:name w:val="rvts0"/>
    <w:qFormat/>
    <w:rsid w:val="005a46ff"/>
    <w:rPr>
      <w:rFonts w:cs="Times New Roman"/>
    </w:rPr>
  </w:style>
  <w:style w:type="character" w:styleId="csd2c743de" w:customStyle="1">
    <w:name w:val="csd2c743de"/>
    <w:basedOn w:val="DefaultParagraphFont"/>
    <w:qFormat/>
    <w:rsid w:val="002330a4"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Покажчик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Покажчик (user)"/>
    <w:basedOn w:val="Normal"/>
    <w:qFormat/>
    <w:pPr>
      <w:suppressLineNumbers/>
    </w:pPr>
    <w:rPr>
      <w:rFonts w:cs="Ari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user2">
    <w:name w:val="Верхній і нижній колонтитули (user)"/>
    <w:basedOn w:val="Normal"/>
    <w:qFormat/>
    <w:pPr/>
    <w:rPr/>
  </w:style>
  <w:style w:type="paragraph" w:styleId="Style16">
    <w:name w:val="Верхній і нижній колонтитули"/>
    <w:basedOn w:val="Normal"/>
    <w:qFormat/>
    <w:pPr/>
    <w:rPr/>
  </w:style>
  <w:style w:type="paragraph" w:styleId="Footer">
    <w:name w:val="footer"/>
    <w:basedOn w:val="Normal"/>
    <w:rsid w:val="00a0742f"/>
    <w:pPr>
      <w:tabs>
        <w:tab w:val="clear" w:pos="57"/>
        <w:tab w:val="center" w:pos="4153" w:leader="none"/>
        <w:tab w:val="right" w:pos="8306" w:leader="none"/>
      </w:tabs>
    </w:pPr>
    <w:rPr/>
  </w:style>
  <w:style w:type="paragraph" w:styleId="Style17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18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left="4536"/>
      <w:jc w:val="center"/>
    </w:pPr>
    <w:rPr/>
  </w:style>
  <w:style w:type="paragraph" w:styleId="Header">
    <w:name w:val="header"/>
    <w:basedOn w:val="Normal"/>
    <w:link w:val="Style12"/>
    <w:uiPriority w:val="99"/>
    <w:rsid w:val="00a0742f"/>
    <w:pPr>
      <w:tabs>
        <w:tab w:val="clear" w:pos="57"/>
        <w:tab w:val="center" w:pos="4153" w:leader="none"/>
        <w:tab w:val="right" w:pos="8306" w:leader="none"/>
      </w:tabs>
    </w:pPr>
    <w:rPr/>
  </w:style>
  <w:style w:type="paragraph" w:styleId="1" w:customStyle="1">
    <w:name w:val="Підпис1"/>
    <w:basedOn w:val="Normal"/>
    <w:qFormat/>
    <w:rsid w:val="00a0742f"/>
    <w:pPr>
      <w:keepLines/>
      <w:tabs>
        <w:tab w:val="clear" w:pos="57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19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20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1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2" w:customStyle="1">
    <w:name w:val="Вид документа"/>
    <w:basedOn w:val="Style21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3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24" w:customStyle="1">
    <w:name w:val="Назва документа"/>
    <w:basedOn w:val="Normal"/>
    <w:next w:val="Style17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lef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left="283"/>
      <w:jc w:val="left"/>
    </w:pPr>
    <w:rPr>
      <w:rFonts w:eastAsia="Calibri" w:cs="" w:cstheme="minorBidi" w:eastAsiaTheme="minorHAns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197d14"/>
    <w:pPr>
      <w:spacing w:before="0" w:after="0"/>
      <w:ind w:left="720"/>
      <w:contextualSpacing/>
    </w:pPr>
    <w:rPr/>
  </w:style>
  <w:style w:type="paragraph" w:styleId="Subtitle">
    <w:name w:val="Subtitle"/>
    <w:basedOn w:val="Normal"/>
    <w:link w:val="Style13"/>
    <w:uiPriority w:val="99"/>
    <w:qFormat/>
    <w:rsid w:val="00de0c41"/>
    <w:pPr>
      <w:spacing w:lineRule="auto" w:line="240"/>
      <w:ind w:hanging="0"/>
      <w:jc w:val="center"/>
    </w:pPr>
    <w:rPr>
      <w:b/>
    </w:rPr>
  </w:style>
  <w:style w:type="paragraph" w:styleId="31" w:customStyle="1">
    <w:name w:val="Основной текст (3)1"/>
    <w:basedOn w:val="Normal"/>
    <w:qFormat/>
    <w:rsid w:val="00c42ed0"/>
    <w:pPr>
      <w:widowControl w:val="false"/>
      <w:shd w:val="clear" w:color="auto" w:fill="FFFFFF"/>
      <w:spacing w:lineRule="atLeast" w:line="240" w:before="0" w:after="600"/>
      <w:ind w:hanging="0"/>
      <w:jc w:val="left"/>
    </w:pPr>
    <w:rPr>
      <w:rFonts w:ascii="Courier New" w:hAnsi="Courier New"/>
      <w:spacing w:val="2"/>
      <w:sz w:val="17"/>
    </w:rPr>
  </w:style>
  <w:style w:type="paragraph" w:styleId="csfb0aa375" w:customStyle="1">
    <w:name w:val="csfb0aa375"/>
    <w:basedOn w:val="Normal"/>
    <w:qFormat/>
    <w:rsid w:val="002330a4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cse2a94784" w:customStyle="1">
    <w:name w:val="cse2a94784"/>
    <w:basedOn w:val="Normal"/>
    <w:qFormat/>
    <w:rsid w:val="002330a4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cs66e64e55" w:customStyle="1">
    <w:name w:val="cs66e64e55"/>
    <w:basedOn w:val="Normal"/>
    <w:qFormat/>
    <w:rsid w:val="002330a4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user3">
    <w:name w:val="Вміст рамки (user)"/>
    <w:basedOn w:val="Normal"/>
    <w:qFormat/>
    <w:pPr/>
    <w:rPr/>
  </w:style>
  <w:style w:type="paragraph" w:styleId="user4">
    <w:name w:val="Вміст таблиці (user)"/>
    <w:basedOn w:val="Normal"/>
    <w:qFormat/>
    <w:pPr>
      <w:widowControl w:val="false"/>
      <w:suppressLineNumbers/>
    </w:pPr>
    <w:rPr/>
  </w:style>
  <w:style w:type="paragraph" w:styleId="user5">
    <w:name w:val="Заголовок таблиці (user)"/>
    <w:basedOn w:val="user4"/>
    <w:qFormat/>
    <w:pPr>
      <w:suppressLineNumbers/>
      <w:jc w:val="center"/>
    </w:pPr>
    <w:rPr>
      <w:b/>
      <w:bCs/>
    </w:rPr>
  </w:style>
  <w:style w:type="paragraph" w:styleId="cs7c5251be">
    <w:name w:val="cs7c5251be"/>
    <w:basedOn w:val="Normal"/>
    <w:qFormat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Style25">
    <w:name w:val="Вміст рамки"/>
    <w:basedOn w:val="Normal"/>
    <w:qFormat/>
    <w:pPr/>
    <w:rPr/>
  </w:style>
  <w:style w:type="numbering" w:styleId="user6" w:default="1">
    <w:name w:val="Без маркерів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899B6B-F138-4707-A219-BBA6839F4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Application>LibreOffice/26.2.0.3$Windows_X86_64 LibreOffice_project/620$Build-3</Application>
  <AppVersion>15.0000</AppVersion>
  <Pages>3</Pages>
  <Words>552</Words>
  <Characters>3648</Characters>
  <CharactersWithSpaces>4121</CharactersWithSpaces>
  <Paragraphs>77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2022-08-29T05:54:00Z</dcterms:created>
  <dc:creator>1-1</dc:creator>
  <dc:description/>
  <dc:language>uk-UA</dc:language>
  <cp:lastModifiedBy/>
  <cp:lastPrinted>2020-07-03T08:18:00Z</cp:lastPrinted>
  <dcterms:modified xsi:type="dcterms:W3CDTF">2026-08-17T14:28:43Z</dcterms:modified>
  <cp:revision>38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