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  <w:lang w:val="en-US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bCs/>
          <w:szCs w:val="28"/>
        </w:rPr>
        <w:t xml:space="preserve">на зайняття посади державної служби категорії «В» - </w:t>
      </w:r>
      <w:r>
        <w:rPr>
          <w:color w:val="000000"/>
          <w:szCs w:val="28"/>
        </w:rPr>
        <w:t xml:space="preserve">головного спеціаліста 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відділу організації правової роботи юридичного управління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color w:val="000000"/>
          <w:szCs w:val="28"/>
        </w:rPr>
        <w:t>(вул. Волоська,36/38)</w:t>
      </w:r>
    </w:p>
    <w:tbl>
      <w:tblPr>
        <w:tblStyle w:val="aff"/>
        <w:tblW w:w="9497" w:type="dxa"/>
        <w:jc w:val="left"/>
        <w:tblInd w:w="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2971"/>
        <w:gridCol w:w="33"/>
        <w:gridCol w:w="5953"/>
      </w:tblGrid>
      <w:tr>
        <w:trPr/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Проведення моніторингу змін в законодавстві та оперативне доведення до структурних підрозділів та працівників інформацію про зміни у законодавчих та інших нормативно - правових актах і про нові акти законодавства, рекомендації органів юстиції, роз’яснення, листи та постанови пленуму Верховного Суду, касаційного господарського, адміністративного, цивільного та кримінального судів у складі Верховного Суду; узагальнення разом із заінтересованими структурними підрозділами практики застосування законодавства у сфері загальнообов'язкового державного пенсійного страхування, пенсійного забезпечення, надання субсидій та пільг на оплату житлово-комунальних послуг, придбання твердого та рідкого пічного побутового палива і скрапленого газу, підготовку пропозицій щодо його вдосконалення, подання їх на розгляд керівництву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у розгляді та підготовка проєктів відповідей на звернення підприємств, установ, організацій, громадян, та запитів на отримання публічної інформації.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Подання звітності до Фонду та інших органів державної влади з питань правової роботи, з урахуванням порядку та строків її подання та за будь-який період часу - з використанням можливостей автоматизованого формування аналітичної звітності у підсистемах “Правова робота”,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та забезпечення взаємодії з правоохоронними органами, органами державної виконавчої служби та іншими державними органами. Проведення аналізу матеріалів, що надійшли від правоохоронних і контролюючих органів.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моніторингу повноти наповнення та внесення відомостей про стан розгляду судами справ та стан виконання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Підготовка справ про адміністративні правопорушення до розгляду, підготовка проектів постанов у даних справах, передача вказаних постанов до органів державної виконавчої служби у разі несплати штрафу у встановлений законодавством строк.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обліку виконавчих проваджень щодо стягнення коштів на користь Головного управління, а також збирання та узагальнення отриманої інформації у звітні дані за встановленими формами та подання їх начальнику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представництва (захист) інтересів Головного управління в судах та інших органах під час розгляду правових питань і спорів, віднесених до компетенції відділу організації правової роботи юридичного управління, підготовка заяв, клопотань, відзивів, пояснень, заперечень, а також заяв про перегляд судових рішень в апеляційному та касаційному порядку. Оформлення та укомплектування судових справ відповідними матеріалами. Моніторинг стану розгляду в судах справ, в тому числі шляхом використання відомостей з Єдиного державного реєстру судових рішень, електронного кабінету у підсистемі «Електронний суд» ЄСІТС, відстеження інформації на офіційному Веб-порталі «Судова влада України».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Моніторинг відомостей справ про банкрутство, розміщених на офіційному веб-порталі судової влади України, щодо платників, відносно яких порушуються провадження у справах про банкрутство та/або відкривається ліквідаційна процедура, та підготовки документів для розгляду кредиторських вимог Головного управління. Підготовка та подання у встановлені законодавством строки до господарського суду, арбітражних керуючих а також ліквідаційних комісій заяв про визнання конкурсних (поточних) кредиторських вимог Головного управління у справах про банкрутство, участь в судових засіданнях а також зборах кредиторів. Формування матеріалів справ про банкрутство в окремі справи, ведення обліку їх руху та журналу судових засідань.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Виконання оперативних доручень та завдань начальника (заступника начальника) юридичного управління, начальника (заступника начальника) відділу організації правової роботи юридичного управління В порядку, визначеному начальником (заступником начальника) юридичного управління, начальником (заступником начальника) відділу організації правової роботи юридичного управління заміщує інших працівників відділу у разі їх відсутності.</w:t>
            </w:r>
          </w:p>
        </w:tc>
      </w:tr>
      <w:tr>
        <w:trPr>
          <w:trHeight w:val="4154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8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Посадовий оклад - 20795 грн</w:t>
            </w:r>
            <w:r>
              <w:rPr>
                <w:rFonts w:eastAsia="Times New Roman" w:cs="Times New Roman"/>
                <w:bCs/>
                <w:color w:themeColor="text1" w:val="000000"/>
                <w:kern w:val="0"/>
                <w:szCs w:val="28"/>
                <w:lang w:val="uk-UA" w:bidi="ar-SA"/>
              </w:rPr>
              <w:t>.</w:t>
            </w:r>
            <w:r>
              <w:rPr>
                <w:rStyle w:val="FontStyle11"/>
                <w:rFonts w:eastAsia="Times New Roman"/>
                <w:i/>
                <w:iCs/>
                <w:color w:themeColor="text1" w:val="000000"/>
                <w:kern w:val="0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згідно із класифікацією посад;</w:t>
            </w: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Обов’язковою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вимогою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до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осіб,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які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претендують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на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посаду,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є наявність</w:t>
            </w:r>
            <w:r>
              <w:rPr>
                <w:rFonts w:eastAsia="Times New Roman" w:cs="Times New Roman"/>
                <w:b/>
                <w:i/>
                <w:iCs/>
                <w:spacing w:val="-1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 xml:space="preserve">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i/>
                <w:iCs/>
                <w:spacing w:val="-2"/>
                <w:kern w:val="0"/>
                <w:sz w:val="28"/>
                <w:szCs w:val="28"/>
                <w:lang w:val="uk-UA" w:eastAsia="uk-UA" w:bidi="ar-SA"/>
              </w:rPr>
              <w:t>держав.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вища освіта за освітнім ступенем не нижче  молодшого бакалавра, бакалавра </w:t>
            </w:r>
            <w:r>
              <w:rPr>
                <w:rFonts w:eastAsia="Times New Roman" w:cs="Times New Roman"/>
                <w:color w:val="000000"/>
                <w:kern w:val="0"/>
                <w:sz w:val="31"/>
                <w:szCs w:val="31"/>
                <w:lang w:val="uk-UA" w:bidi="ar-SA"/>
              </w:rPr>
              <w:t>у галузі знань «Право»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shd w:fill="FFFFFF" w:val="clear"/>
                <w:lang w:val="uk-UA" w:bidi="ar-SA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895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1.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Якісне виконання поставлених завдань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142" w:left="20" w:right="-8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2.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32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Відповідальність, командна робота та взаємодія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cs61116938"/>
              <w:widowControl/>
              <w:suppressAutoHyphens w:val="true"/>
              <w:spacing w:beforeAutospacing="0" w:before="0" w:afterAutospacing="0" w:after="0"/>
              <w:ind w:hanging="0" w:right="2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-вміння працювати в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команді та командної взаємодії.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3.</w:t>
            </w:r>
          </w:p>
        </w:tc>
        <w:tc>
          <w:tcPr>
            <w:tcW w:w="2971" w:type="dxa"/>
            <w:tcBorders/>
          </w:tcPr>
          <w:p>
            <w:pPr>
              <w:pStyle w:val="cs66e64e55"/>
              <w:widowControl/>
              <w:suppressAutoHyphens w:val="true"/>
              <w:spacing w:lineRule="atLeast" w:line="183" w:before="0" w:after="28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28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.</w:t>
            </w:r>
          </w:p>
        </w:tc>
      </w:tr>
      <w:tr>
        <w:trPr>
          <w:trHeight w:val="378" w:hRule="atLeast"/>
        </w:trPr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53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Style w:val="cs23fb0664"/>
                <w:rFonts w:eastAsia="Times New Roman" w:cs="Times New Roman"/>
                <w:color w:val="000000"/>
                <w:kern w:val="0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 України “Про захист персональних даних”.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53" w:type="dxa"/>
            <w:tcBorders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Кодекс адміністративного судочинства України;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виконавче провадження»;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567" w:top="624" w:footer="567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635" distR="0" simplePos="0" locked="0" layoutInCell="0" allowOverlap="1" relativeHeight="2" wp14:anchorId="18785C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635" cy="1778635"/>
              <wp:effectExtent l="635" t="0" r="0" b="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760" cy="1778760"/>
                      </a:xfrm>
                      <a:custGeom>
                        <a:avLst/>
                        <a:gdLst>
                          <a:gd name="textAreaLeft" fmla="*/ 0 w 1008360"/>
                          <a:gd name="textAreaRight" fmla="*/ 1011240 w 1008360"/>
                          <a:gd name="textAreaTop" fmla="*/ 0 h 1008360"/>
                          <a:gd name="textAreaBottom" fmla="*/ 1011240 h 1008360"/>
                          <a:gd name="GluePoint1X" fmla="*/ 4943 w 4944"/>
                          <a:gd name="GluePoint1Y" fmla="*/ 4941 h 4942"/>
                          <a:gd name="GluePoint2X" fmla="*/ 0 w 4944"/>
                          <a:gd name="GluePoint2Y" fmla="*/ 4941 h 4942"/>
                          <a:gd name="GluePoint3X" fmla="*/ 0 w 4944"/>
                          <a:gd name="GluePoint3Y" fmla="*/ 0 h 4942"/>
                          <a:gd name="GluePoint4X" fmla="*/ 4943 w 4944"/>
                          <a:gd name="GluePoint4Y" fmla="*/ 0 h 4942"/>
                          <a:gd name="GluePoint5X" fmla="*/ 4943 w 4944"/>
                          <a:gd name="GluePoint5Y" fmla="*/ 4941 h 4942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44" h="4942">
                            <a:moveTo>
                              <a:pt x="4943" y="4941"/>
                            </a:moveTo>
                            <a:lnTo>
                              <a:pt x="0" y="4941"/>
                            </a:lnTo>
                            <a:lnTo>
                              <a:pt x="0" y="0"/>
                            </a:lnTo>
                            <a:lnTo>
                              <a:pt x="4943" y="0"/>
                            </a:lnTo>
                            <a:lnTo>
                              <a:pt x="4943" y="4941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 wp14:anchorId="5C709FA9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33190" cy="1551940"/>
              <wp:effectExtent l="0" t="0" r="0" b="635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3360" cy="1551960"/>
                      </a:xfrm>
                      <a:custGeom>
                        <a:avLst/>
                        <a:gdLst>
                          <a:gd name="textAreaLeft" fmla="*/ 0 w 2229840"/>
                          <a:gd name="textAreaRight" fmla="*/ 2232720 w 2229840"/>
                          <a:gd name="textAreaTop" fmla="*/ 0 h 879840"/>
                          <a:gd name="textAreaBottom" fmla="*/ 882720 h 879840"/>
                          <a:gd name="GluePoint1X" fmla="*/ 10928 w 10929"/>
                          <a:gd name="GluePoint1Y" fmla="*/ 4313 h 4314"/>
                          <a:gd name="GluePoint2X" fmla="*/ 10928 w 10929"/>
                          <a:gd name="GluePoint2Y" fmla="*/ 0 h 4314"/>
                          <a:gd name="GluePoint3X" fmla="*/ 10928 w 10929"/>
                          <a:gd name="GluePoint3Y" fmla="*/ 4313 h 4314"/>
                          <a:gd name="GluePoint4X" fmla="*/ 0 w 10929"/>
                          <a:gd name="GluePoint4Y" fmla="*/ 4313 h 4314"/>
                          <a:gd name="GluePoint5X" fmla="*/ 0 w 10929"/>
                          <a:gd name="GluePoint5Y" fmla="*/ 0 h 4314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10929" h="4314">
                            <a:moveTo>
                              <a:pt x="10928" y="4313"/>
                            </a:moveTo>
                            <a:lnTo>
                              <a:pt x="10928" y="0"/>
                            </a:lnTo>
                            <a:lnTo>
                              <a:pt x="10928" y="4313"/>
                            </a:lnTo>
                            <a:lnTo>
                              <a:pt x="0" y="43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17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FontStyle11" w:customStyle="1">
    <w:name w:val="Font Style11"/>
    <w:basedOn w:val="DefaultParagraphFont"/>
    <w:uiPriority w:val="99"/>
    <w:qFormat/>
    <w:rsid w:val="00d76ed3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942a1b"/>
    <w:rPr/>
  </w:style>
  <w:style w:type="character" w:styleId="cs23fb0664" w:customStyle="1">
    <w:name w:val="cs23fb0664"/>
    <w:basedOn w:val="DefaultParagraphFont"/>
    <w:qFormat/>
    <w:rsid w:val="00942a1b"/>
    <w:rPr/>
  </w:style>
  <w:style w:type="character" w:styleId="31" w:customStyle="1">
    <w:name w:val="Заголовок 3 Знак"/>
    <w:basedOn w:val="DefaultParagraphFont"/>
    <w:qFormat/>
    <w:rsid w:val="003536e7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ac24ac"/>
    <w:rPr>
      <w:b/>
      <w:bCs/>
    </w:rPr>
  </w:style>
  <w:style w:type="character" w:styleId="11" w:customStyle="1">
    <w:name w:val="Незакрита згадка1"/>
    <w:basedOn w:val="DefaultParagraphFont"/>
    <w:qFormat/>
    <w:rsid w:val="00ac24ac"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c24ac"/>
    <w:pPr/>
    <w:rPr>
      <w:rFonts w:cs="Lucida Sans"/>
    </w:rPr>
  </w:style>
  <w:style w:type="paragraph" w:styleId="Caption">
    <w:name w:val="caption"/>
    <w:basedOn w:val="Normal"/>
    <w:qFormat/>
    <w:rsid w:val="00ac24a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c24ac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c24ac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c24ac"/>
    <w:pPr/>
    <w:rPr/>
  </w:style>
  <w:style w:type="paragraph" w:styleId="Style16" w:customStyle="1">
    <w:name w:val="Верхній і нижній колонтитули"/>
    <w:basedOn w:val="Normal"/>
    <w:qFormat/>
    <w:rsid w:val="00ac24ac"/>
    <w:pPr/>
    <w:rPr/>
  </w:style>
  <w:style w:type="paragraph" w:styleId="Footer">
    <w:name w:val="footer"/>
    <w:basedOn w:val="Normal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17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13" w:customStyle="1">
    <w:name w:val="Звичайний1"/>
    <w:qFormat/>
    <w:rsid w:val="00551e65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5c6c94b" w:customStyle="1">
    <w:name w:val="cs75c6c94b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c24ac"/>
    <w:pPr/>
    <w:rPr/>
  </w:style>
  <w:style w:type="paragraph" w:styleId="Style25" w:customStyle="1">
    <w:name w:val="Вміст рамки"/>
    <w:basedOn w:val="Normal"/>
    <w:qFormat/>
    <w:rsid w:val="00ac24ac"/>
    <w:pPr/>
    <w:rPr/>
  </w:style>
  <w:style w:type="paragraph" w:styleId="311" w:customStyle="1">
    <w:name w:val="Основной текст (3)1"/>
    <w:basedOn w:val="Normal"/>
    <w:qFormat/>
    <w:rsid w:val="00ac24a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numbering" w:styleId="user4" w:customStyle="1">
    <w:name w:val="Без маркерів (user)"/>
    <w:uiPriority w:val="99"/>
    <w:semiHidden/>
    <w:unhideWhenUsed/>
    <w:qFormat/>
    <w:rsid w:val="00ac24ac"/>
  </w:style>
  <w:style w:type="numbering" w:styleId="Style26" w:customStyle="1">
    <w:name w:val="Без маркерів"/>
    <w:qFormat/>
    <w:rsid w:val="00ac24a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F3AF-5579-4624-B64A-161A48DE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LibreOffice/26.2.0.3$Windows_X86_64 LibreOffice_project/620$Build-3</Application>
  <AppVersion>15.0000</AppVersion>
  <Pages>5</Pages>
  <Words>925</Words>
  <Characters>6423</Characters>
  <CharactersWithSpaces>7282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2026-06-01T07:48:00Z</dcterms:created>
  <dc:creator>1-1</dc:creator>
  <dc:description/>
  <dc:language>uk-UA</dc:language>
  <cp:lastModifiedBy/>
  <cp:lastPrinted>2021-03-22T13:07:00Z</cp:lastPrinted>
  <dcterms:modified xsi:type="dcterms:W3CDTF">2026-08-17T14:29:21Z</dcterms:modified>
  <cp:revision>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