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left="4819"/>
        <w:jc w:val="left"/>
        <w:rPr>
          <w:bCs/>
        </w:rPr>
      </w:pPr>
      <w:r>
        <w:rPr>
          <w:bCs/>
        </w:rPr>
        <w:t>Додаток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 xml:space="preserve">до Наказу 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 xml:space="preserve">Головного управління 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 xml:space="preserve">Пенсійного фонду України в м. Києві 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>від “17” серпня 2026 року №________</w:t>
      </w:r>
    </w:p>
    <w:p>
      <w:pPr>
        <w:pStyle w:val="Heading3"/>
        <w:spacing w:lineRule="auto" w:line="240" w:before="0" w:after="0"/>
        <w:ind w:hanging="0" w:left="0"/>
        <w:jc w:val="center"/>
        <w:rPr>
          <w:lang w:val="uk-UA"/>
        </w:rPr>
      </w:pPr>
      <w:r>
        <w:rPr>
          <w:b w:val="false"/>
          <w:i w:val="false"/>
          <w:szCs w:val="28"/>
          <w:lang w:val="uk-UA"/>
        </w:rPr>
      </w:r>
    </w:p>
    <w:p>
      <w:pPr>
        <w:pStyle w:val="Normal"/>
        <w:spacing w:lineRule="auto" w:line="240" w:before="0" w:after="0"/>
        <w:ind w:hanging="0" w:left="0"/>
        <w:jc w:val="center"/>
        <w:rPr>
          <w:lang w:val="uk-UA"/>
        </w:rPr>
      </w:pPr>
      <w:r>
        <w:rPr>
          <w:b w:val="false"/>
          <w:i w:val="false"/>
          <w:szCs w:val="28"/>
          <w:lang w:val="uk-UA"/>
        </w:rPr>
      </w:r>
    </w:p>
    <w:p>
      <w:pPr>
        <w:pStyle w:val="Heading3"/>
        <w:spacing w:lineRule="auto" w:line="240" w:before="0" w:after="0"/>
        <w:ind w:hanging="0" w:left="0"/>
        <w:jc w:val="center"/>
        <w:rPr>
          <w:lang w:val="uk-UA"/>
        </w:rPr>
      </w:pPr>
      <w:r>
        <w:rPr>
          <w:b w:val="false"/>
          <w:i w:val="false"/>
          <w:szCs w:val="28"/>
          <w:lang w:val="uk-UA"/>
        </w:rPr>
        <w:t>Умови</w:t>
      </w:r>
    </w:p>
    <w:p>
      <w:pPr>
        <w:pStyle w:val="Normal"/>
        <w:ind w:hanging="0"/>
        <w:jc w:val="center"/>
        <w:rPr>
          <w:bCs/>
          <w:szCs w:val="28"/>
          <w:lang w:val="en-US"/>
        </w:rPr>
      </w:pPr>
      <w:r>
        <w:rPr>
          <w:bCs/>
          <w:szCs w:val="28"/>
        </w:rPr>
        <w:t>проведення добору</w:t>
      </w:r>
    </w:p>
    <w:p>
      <w:pPr>
        <w:pStyle w:val="Normal"/>
        <w:ind w:hanging="0"/>
        <w:jc w:val="center"/>
        <w:rPr>
          <w:color w:val="000000"/>
          <w:szCs w:val="28"/>
          <w:lang w:val="en-US"/>
        </w:rPr>
      </w:pPr>
      <w:r>
        <w:rPr>
          <w:bCs/>
          <w:szCs w:val="28"/>
        </w:rPr>
        <w:t xml:space="preserve">на зайняття посади державної служби категорії «В» - </w:t>
      </w:r>
      <w:r>
        <w:rPr>
          <w:color w:val="000000"/>
          <w:szCs w:val="28"/>
        </w:rPr>
        <w:t xml:space="preserve">головного спеціаліста </w:t>
      </w:r>
    </w:p>
    <w:p>
      <w:pPr>
        <w:pStyle w:val="Normal"/>
        <w:ind w:hanging="0"/>
        <w:jc w:val="center"/>
        <w:rPr>
          <w:color w:val="000000"/>
          <w:szCs w:val="28"/>
          <w:lang w:val="en-US"/>
        </w:rPr>
      </w:pPr>
      <w:r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відділу організації правової роботи  юридичного управління (на період відсутності основного працівника) </w:t>
      </w:r>
    </w:p>
    <w:p>
      <w:pPr>
        <w:pStyle w:val="Normal"/>
        <w:ind w:hanging="0"/>
        <w:jc w:val="center"/>
        <w:rPr>
          <w:bCs/>
          <w:szCs w:val="28"/>
        </w:rPr>
      </w:pPr>
      <w:r>
        <w:rPr>
          <w:color w:val="000000"/>
          <w:szCs w:val="28"/>
        </w:rPr>
        <w:t>(вул. Волоська,36/38)</w:t>
      </w:r>
    </w:p>
    <w:tbl>
      <w:tblPr>
        <w:tblStyle w:val="aff"/>
        <w:tblW w:w="9497" w:type="dxa"/>
        <w:jc w:val="left"/>
        <w:tblInd w:w="47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40"/>
        <w:gridCol w:w="2971"/>
        <w:gridCol w:w="33"/>
        <w:gridCol w:w="5953"/>
      </w:tblGrid>
      <w:tr>
        <w:trPr/>
        <w:tc>
          <w:tcPr>
            <w:tcW w:w="9497" w:type="dxa"/>
            <w:gridSpan w:val="4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181"/>
              <w:jc w:val="center"/>
              <w:rPr>
                <w:bCs/>
                <w:szCs w:val="28"/>
              </w:rPr>
            </w:pPr>
            <w:r>
              <w:rPr>
                <w:rFonts w:eastAsia="Times New Roman" w:cs="Times New Roman"/>
                <w:bCs/>
                <w:kern w:val="0"/>
                <w:szCs w:val="28"/>
                <w:lang w:val="uk-UA" w:bidi="ar-SA"/>
              </w:rPr>
              <w:t>Загальні умови</w:t>
            </w:r>
          </w:p>
        </w:tc>
      </w:tr>
      <w:tr>
        <w:trPr/>
        <w:tc>
          <w:tcPr>
            <w:tcW w:w="3511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>Посадові обов’язки</w:t>
            </w:r>
          </w:p>
        </w:tc>
        <w:tc>
          <w:tcPr>
            <w:tcW w:w="5986" w:type="dxa"/>
            <w:gridSpan w:val="2"/>
            <w:tcBorders/>
          </w:tcPr>
          <w:p>
            <w:pPr>
              <w:pStyle w:val="Normal"/>
              <w:widowControl/>
              <w:numPr>
                <w:ilvl w:val="0"/>
                <w:numId w:val="1"/>
              </w:numPr>
              <w:tabs>
                <w:tab w:val="clear" w:pos="170"/>
                <w:tab w:val="left" w:pos="36" w:leader="none"/>
              </w:tabs>
              <w:suppressAutoHyphens w:val="true"/>
              <w:spacing w:lineRule="auto" w:line="240" w:before="0" w:after="0"/>
              <w:ind w:hanging="0" w:left="-20"/>
              <w:rPr>
                <w:color w:val="000000"/>
                <w:lang w:eastAsia="uk-UA"/>
              </w:rPr>
            </w:pPr>
            <w:bookmarkStart w:id="0" w:name="n85"/>
            <w:bookmarkStart w:id="1" w:name="n186"/>
            <w:bookmarkStart w:id="2" w:name="n92"/>
            <w:bookmarkEnd w:id="0"/>
            <w:bookmarkEnd w:id="1"/>
            <w:bookmarkEnd w:id="2"/>
            <w:r>
              <w:rPr>
                <w:rFonts w:eastAsia="Times New Roman" w:cs="Times New Roman"/>
                <w:color w:val="000000"/>
                <w:kern w:val="0"/>
                <w:szCs w:val="20"/>
                <w:lang w:val="uk-UA" w:eastAsia="uk-UA" w:bidi="ar-SA"/>
              </w:rPr>
              <w:t>Проведення моніторингу змін в законодавстві та оперативне доведення до структурних підрозділів та працівників інформацію про зміни у законодавчих та інших нормативно - правових актах і про нові акти законодавства, рекомендації органів юстиції, роз’яснення, листи та постанови пленуму Верховного Суду, касаційного господарського, адміністративного, цивільного та кримінального судів у складі Верховного Суду; узагальнення разом із заінтересованими структурними підрозділами практики застосування законодавства у сфері загальнообов'язкового державного пенсійного страхування, пенсійного забезпечення, надання субсидій та пільг на оплату житлово-комунальних послуг, придбання твердого та рідкого пічного побутового палива і скрапленого газу, підготовку пропозицій щодо його вдосконалення, подання їх на розгляд керівництву відділу.</w:t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tabs>
                <w:tab w:val="clear" w:pos="170"/>
                <w:tab w:val="left" w:pos="36" w:leader="none"/>
              </w:tabs>
              <w:suppressAutoHyphens w:val="true"/>
              <w:spacing w:lineRule="auto" w:line="240" w:before="0" w:after="0"/>
              <w:ind w:hanging="0" w:left="-20"/>
              <w:rPr>
                <w:color w:val="000000"/>
                <w:lang w:eastAsia="uk-UA"/>
              </w:rPr>
            </w:pPr>
            <w:r>
              <w:rPr>
                <w:rFonts w:eastAsia="Times New Roman" w:cs="Times New Roman"/>
                <w:color w:val="000000"/>
                <w:kern w:val="0"/>
                <w:szCs w:val="20"/>
                <w:lang w:val="uk-UA" w:eastAsia="uk-UA" w:bidi="ar-SA"/>
              </w:rPr>
              <w:t>Участь у розгляді та підготовка проєктів відповідей на звернення підприємств, установ, організацій, громадян, та запитів на отримання публічної інформації.</w:t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tabs>
                <w:tab w:val="clear" w:pos="170"/>
                <w:tab w:val="left" w:pos="36" w:leader="none"/>
              </w:tabs>
              <w:suppressAutoHyphens w:val="true"/>
              <w:spacing w:lineRule="auto" w:line="240" w:before="0" w:after="0"/>
              <w:ind w:hanging="0" w:left="-20"/>
              <w:rPr>
                <w:color w:val="000000"/>
                <w:lang w:eastAsia="uk-UA"/>
              </w:rPr>
            </w:pPr>
            <w:r>
              <w:rPr>
                <w:rFonts w:eastAsia="Times New Roman" w:cs="Times New Roman"/>
                <w:color w:val="000000"/>
                <w:kern w:val="0"/>
                <w:szCs w:val="20"/>
                <w:lang w:val="uk-UA" w:eastAsia="uk-UA" w:bidi="ar-SA"/>
              </w:rPr>
              <w:t>Подання звітності до Фонду та інших органів державної влади з питань правової роботи, з урахуванням порядку та строків її подання та за будь-який період часу - з використанням можливостей автоматизованого формування аналітичної звітності у підсистемах “Правова робота”, “Реєстр судових рішень” ІКІС ПФУ.</w:t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tabs>
                <w:tab w:val="clear" w:pos="170"/>
                <w:tab w:val="left" w:pos="36" w:leader="none"/>
              </w:tabs>
              <w:suppressAutoHyphens w:val="true"/>
              <w:spacing w:lineRule="auto" w:line="240" w:before="0" w:after="0"/>
              <w:ind w:hanging="0" w:left="-20"/>
              <w:rPr>
                <w:color w:val="000000"/>
                <w:lang w:eastAsia="uk-UA"/>
              </w:rPr>
            </w:pPr>
            <w:r>
              <w:rPr>
                <w:rFonts w:eastAsia="Times New Roman" w:cs="Times New Roman"/>
                <w:color w:val="000000"/>
                <w:kern w:val="0"/>
                <w:szCs w:val="20"/>
                <w:lang w:val="uk-UA" w:eastAsia="uk-UA" w:bidi="ar-SA"/>
              </w:rPr>
              <w:t>Участь та забезпечення взаємодії з правоохоронними органами, органами державної виконавчої служби та іншими державними органами. Проведення аналізу матеріалів, що надійшли від правоохоронних і контролюючих органів.</w:t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tabs>
                <w:tab w:val="clear" w:pos="170"/>
                <w:tab w:val="left" w:pos="36" w:leader="none"/>
              </w:tabs>
              <w:suppressAutoHyphens w:val="true"/>
              <w:spacing w:lineRule="auto" w:line="240" w:before="0" w:after="0"/>
              <w:ind w:hanging="0" w:left="-20"/>
              <w:rPr>
                <w:color w:val="000000"/>
                <w:lang w:eastAsia="uk-UA"/>
              </w:rPr>
            </w:pPr>
            <w:r>
              <w:rPr>
                <w:rFonts w:eastAsia="Times New Roman" w:cs="Times New Roman"/>
                <w:color w:val="000000"/>
                <w:kern w:val="0"/>
                <w:szCs w:val="20"/>
                <w:lang w:val="uk-UA" w:eastAsia="uk-UA" w:bidi="ar-SA"/>
              </w:rPr>
              <w:t>Здійснення моніторингу повноти наповнення та внесення відомостей про стан розгляду судами справ та стан виконання рішень судів про стягнення коштів (крім пенсій) та зобов’язання вчинити дії, не пов’язані з пенсійним забезпеченням, до підсистем “Правова робота” та “Реєстр судових рішень” ІКІС ПФУ.</w:t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tabs>
                <w:tab w:val="clear" w:pos="170"/>
                <w:tab w:val="left" w:pos="36" w:leader="none"/>
              </w:tabs>
              <w:suppressAutoHyphens w:val="true"/>
              <w:spacing w:lineRule="auto" w:line="240" w:before="0" w:after="0"/>
              <w:ind w:hanging="0" w:left="-20"/>
              <w:rPr>
                <w:color w:val="000000"/>
                <w:lang w:eastAsia="uk-UA"/>
              </w:rPr>
            </w:pPr>
            <w:r>
              <w:rPr>
                <w:rFonts w:eastAsia="Times New Roman" w:cs="Times New Roman"/>
                <w:color w:val="000000"/>
                <w:kern w:val="0"/>
                <w:szCs w:val="20"/>
                <w:lang w:val="uk-UA" w:eastAsia="uk-UA" w:bidi="ar-SA"/>
              </w:rPr>
              <w:t>Підготовка справ про адміністративні правопорушення до розгляду, підготовка проектів постанов у даних справах, передача вказаних постанов до органів державної виконавчої служби у разі несплати штрафу у встановлений законодавством строк.</w:t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tabs>
                <w:tab w:val="clear" w:pos="170"/>
                <w:tab w:val="left" w:pos="36" w:leader="none"/>
              </w:tabs>
              <w:suppressAutoHyphens w:val="true"/>
              <w:spacing w:lineRule="auto" w:line="240" w:before="0" w:after="0"/>
              <w:ind w:hanging="0" w:left="-20"/>
              <w:rPr>
                <w:color w:val="000000"/>
                <w:lang w:eastAsia="uk-UA"/>
              </w:rPr>
            </w:pPr>
            <w:r>
              <w:rPr>
                <w:rFonts w:eastAsia="Times New Roman" w:cs="Times New Roman"/>
                <w:color w:val="000000"/>
                <w:kern w:val="0"/>
                <w:szCs w:val="20"/>
                <w:lang w:val="uk-UA" w:eastAsia="uk-UA" w:bidi="ar-SA"/>
              </w:rPr>
              <w:t>Здійснення обліку виконавчих проваджень щодо стягнення коштів на користь Головного управління, а також збирання та узагальнення отриманої інформації у звітні дані за встановленими формами та подання їх начальнику відділу.</w:t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tabs>
                <w:tab w:val="clear" w:pos="170"/>
                <w:tab w:val="left" w:pos="36" w:leader="none"/>
              </w:tabs>
              <w:suppressAutoHyphens w:val="true"/>
              <w:spacing w:lineRule="auto" w:line="240" w:before="0" w:after="0"/>
              <w:ind w:hanging="0" w:left="-20"/>
              <w:rPr>
                <w:color w:val="000000"/>
                <w:lang w:eastAsia="uk-UA"/>
              </w:rPr>
            </w:pPr>
            <w:r>
              <w:rPr>
                <w:rFonts w:eastAsia="Times New Roman" w:cs="Times New Roman"/>
                <w:color w:val="000000"/>
                <w:kern w:val="0"/>
                <w:szCs w:val="20"/>
                <w:lang w:val="uk-UA" w:eastAsia="uk-UA" w:bidi="ar-SA"/>
              </w:rPr>
              <w:t>Здійснення представництва (захист) інтересів Головного управління в судах та інших органах під час розгляду правових питань і спорів, віднесених до компетенції відділу організації правової роботи юридичного управління, підготовка заяв, клопотань, відзивів, пояснень, заперечень, а також заяв про перегляд судових рішень в апеляційному та касаційному порядку. Оформлення та укомплектування судових справ відповідними матеріалами. Моніторинг стану розгляду в судах справ, в тому числі шляхом використання відомостей з Єдиного державного реєстру судових рішень, електронного кабінету у підсистемі «Електронний суд» ЄСІТС, відстеження інформації на офіційному Веб-порталі «Судова влада України».</w:t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tabs>
                <w:tab w:val="clear" w:pos="170"/>
                <w:tab w:val="left" w:pos="36" w:leader="none"/>
              </w:tabs>
              <w:suppressAutoHyphens w:val="true"/>
              <w:spacing w:lineRule="auto" w:line="240" w:before="0" w:after="0"/>
              <w:ind w:hanging="0" w:left="-20"/>
              <w:rPr>
                <w:color w:val="000000"/>
                <w:lang w:eastAsia="uk-UA"/>
              </w:rPr>
            </w:pPr>
            <w:r>
              <w:rPr>
                <w:rFonts w:eastAsia="Times New Roman" w:cs="Times New Roman"/>
                <w:color w:val="000000"/>
                <w:kern w:val="0"/>
                <w:szCs w:val="20"/>
                <w:lang w:val="uk-UA" w:eastAsia="uk-UA" w:bidi="ar-SA"/>
              </w:rPr>
              <w:t>Моніторинг відомостей справ про банкрутство, розміщених на офіційному веб-порталі судової влади України, щодо платників, відносно яких порушуються провадження у справах про банкрутство та/або відкривається ліквідаційна процедура, та підготовки документів для розгляду кредиторських вимог Головного управління. Підготовка та подання у встановлені законодавством строки до господарського суду, арбітражних керуючих а також ліквідаційних комісій заяв про визнання конкурсних (поточних) кредиторських вимог Головного управління у справах про банкрутство, участь в судових засіданнях а також зборах кредиторів. Формування матеріалів справ про банкрутство в окремі справи, ведення обліку їх руху та журналу судових засідань.</w:t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tabs>
                <w:tab w:val="clear" w:pos="170"/>
                <w:tab w:val="left" w:pos="36" w:leader="none"/>
              </w:tabs>
              <w:suppressAutoHyphens w:val="true"/>
              <w:spacing w:lineRule="auto" w:line="240" w:before="0" w:after="0"/>
              <w:ind w:hanging="0" w:left="-20"/>
              <w:rPr>
                <w:color w:val="000000"/>
                <w:szCs w:val="28"/>
                <w:lang w:eastAsia="uk-UA"/>
              </w:rPr>
            </w:pPr>
            <w:r>
              <w:rPr>
                <w:rFonts w:eastAsia="Times New Roman" w:cs="Times New Roman"/>
                <w:color w:val="000000"/>
                <w:kern w:val="0"/>
                <w:szCs w:val="20"/>
                <w:lang w:val="uk-UA" w:eastAsia="uk-UA" w:bidi="ar-SA"/>
              </w:rPr>
              <w:t>Виконання оперативних доручень та завдань начальника (заступника начальника) юридичного управління, начальника (заступника начальника) відділу організації правової роботи юридичного управління В порядку, визначеному начальником (заступником начальника) юридичного управління, начальником (заступником начальника) відділу організації правової роботи юридичного управління заміщує інших працівників відділу у разі їх відсутності.</w:t>
            </w:r>
          </w:p>
        </w:tc>
      </w:tr>
      <w:tr>
        <w:trPr>
          <w:trHeight w:val="4154" w:hRule="atLeast"/>
        </w:trPr>
        <w:tc>
          <w:tcPr>
            <w:tcW w:w="3511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>Умови оплати праці</w:t>
            </w:r>
          </w:p>
        </w:tc>
        <w:tc>
          <w:tcPr>
            <w:tcW w:w="5986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/>
              <w:rPr>
                <w:bCs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Cs w:val="28"/>
                <w:lang w:val="uk-UA" w:bidi="ar-SA"/>
              </w:rPr>
              <w:t>Посадовий оклад - 20795грн</w:t>
            </w:r>
            <w:r>
              <w:rPr>
                <w:rFonts w:eastAsia="Times New Roman" w:cs="Times New Roman"/>
                <w:bCs/>
                <w:color w:themeColor="text1" w:val="000000"/>
                <w:kern w:val="0"/>
                <w:szCs w:val="28"/>
                <w:lang w:val="uk-UA" w:bidi="ar-SA"/>
              </w:rPr>
              <w:t>.</w:t>
            </w:r>
            <w:r>
              <w:rPr>
                <w:rStyle w:val="FontStyle11"/>
                <w:rFonts w:eastAsia="Times New Roman"/>
                <w:i/>
                <w:iCs/>
                <w:color w:themeColor="text1" w:val="000000"/>
                <w:kern w:val="0"/>
                <w:lang w:val="uk-UA" w:bidi="ar-SA"/>
              </w:rPr>
              <w:t xml:space="preserve"> </w:t>
            </w:r>
            <w:r>
              <w:rPr>
                <w:rStyle w:val="csd2c743de"/>
                <w:rFonts w:eastAsia="Times New Roman" w:cs="Times New Roman"/>
                <w:color w:val="000000"/>
                <w:kern w:val="0"/>
                <w:szCs w:val="20"/>
                <w:lang w:val="uk-UA" w:bidi="ar-SA"/>
              </w:rPr>
              <w:t>згідно із класифікацією посад;</w:t>
            </w:r>
            <w:r>
              <w:rPr>
                <w:rFonts w:eastAsia="Times New Roman" w:cs="Times New Roman"/>
                <w:bCs/>
                <w:kern w:val="0"/>
                <w:szCs w:val="28"/>
                <w:lang w:val="uk-UA" w:bidi="ar-SA"/>
              </w:rPr>
              <w:t xml:space="preserve"> </w:t>
            </w:r>
            <w:r>
              <w:rPr>
                <w:rStyle w:val="csd2c743de"/>
                <w:rFonts w:eastAsia="Times New Roman" w:cs="Times New Roman"/>
                <w:color w:val="000000"/>
                <w:kern w:val="0"/>
                <w:szCs w:val="20"/>
                <w:lang w:val="uk-UA" w:bidi="ar-SA"/>
              </w:rPr>
              <w:t>доплати, компенсації відповідно до статті 52 Закону України «Про державну службу»; надбавка за вислугу років, премія та грошова допомога відповідно до прикінцевих положень Закону України «Про державний Бюджет України на 2026 рік;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/>
              <w:rPr>
                <w:bCs/>
                <w:szCs w:val="28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Cs w:val="20"/>
                <w:lang w:val="uk-UA" w:bidi="ar-SA"/>
              </w:rPr>
              <w:t>надбавка до посадового окладу за ранг державного службовця відповідно до постанови Кабінету Міністрів України від 18 січня 2017 року № 15 «Питання оплати праці працівників державних органів» (із змінами).</w:t>
            </w:r>
          </w:p>
        </w:tc>
      </w:tr>
      <w:tr>
        <w:trPr>
          <w:trHeight w:val="915" w:hRule="atLeast"/>
        </w:trPr>
        <w:tc>
          <w:tcPr>
            <w:tcW w:w="3511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>Інформація про строковість</w:t>
            </w:r>
          </w:p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>чи безстроковість</w:t>
            </w:r>
          </w:p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>призначення на посаду</w:t>
            </w:r>
          </w:p>
        </w:tc>
        <w:tc>
          <w:tcPr>
            <w:tcW w:w="5986" w:type="dxa"/>
            <w:gridSpan w:val="2"/>
            <w:tcBorders/>
          </w:tcPr>
          <w:p>
            <w:pPr>
              <w:pStyle w:val="Normal"/>
              <w:widowControl w:val="false"/>
              <w:tabs>
                <w:tab w:val="clear" w:pos="170"/>
                <w:tab w:val="left" w:pos="977" w:leader="none"/>
              </w:tabs>
              <w:suppressAutoHyphens w:val="true"/>
              <w:spacing w:lineRule="auto" w:line="240" w:before="0" w:after="0"/>
              <w:ind w:hanging="0" w:right="110"/>
              <w:rPr>
                <w:szCs w:val="28"/>
              </w:rPr>
            </w:pPr>
            <w:r>
              <w:rPr>
                <w:rStyle w:val="csd2c743de"/>
                <w:rFonts w:eastAsia="Times New Roman" w:cs="Times New Roman"/>
                <w:bCs/>
                <w:color w:val="000000"/>
                <w:kern w:val="0"/>
                <w:szCs w:val="28"/>
                <w:lang w:val="uk-UA" w:bidi="ar-SA"/>
              </w:rPr>
              <w:t>Строково, відповідно до Закону України «Про внесення змін до деяких законів України щодо функціонування державної служби та місцевого самоврядування у період дії воєнного стану» від 12 травня 2022 № 2259-ІХ, внесено зміни до Закону України «Про правовий режим воєнного стану».</w:t>
            </w:r>
          </w:p>
        </w:tc>
      </w:tr>
      <w:tr>
        <w:trPr/>
        <w:tc>
          <w:tcPr>
            <w:tcW w:w="9497" w:type="dxa"/>
            <w:gridSpan w:val="4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>Кваліфікаційні вимоги</w:t>
            </w:r>
          </w:p>
          <w:p>
            <w:pPr>
              <w:pStyle w:val="Default"/>
              <w:widowControl/>
              <w:suppressAutoHyphens w:val="true"/>
              <w:spacing w:before="0" w:after="0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i/>
                <w:iCs/>
                <w:kern w:val="0"/>
                <w:sz w:val="28"/>
                <w:szCs w:val="28"/>
                <w:lang w:val="uk-UA" w:eastAsia="uk-UA" w:bidi="ar-SA"/>
              </w:rPr>
              <w:t>Обов’язковою</w:t>
            </w:r>
            <w:r>
              <w:rPr>
                <w:rFonts w:eastAsia="Times New Roman" w:cs="Times New Roman"/>
                <w:b/>
                <w:i/>
                <w:iCs/>
                <w:spacing w:val="80"/>
                <w:kern w:val="0"/>
                <w:sz w:val="28"/>
                <w:szCs w:val="28"/>
                <w:lang w:val="uk-UA" w:eastAsia="uk-UA" w:bidi="ar-SA"/>
              </w:rPr>
              <w:t xml:space="preserve"> </w:t>
            </w:r>
            <w:r>
              <w:rPr>
                <w:rFonts w:eastAsia="Times New Roman" w:cs="Times New Roman"/>
                <w:b/>
                <w:i/>
                <w:iCs/>
                <w:kern w:val="0"/>
                <w:sz w:val="28"/>
                <w:szCs w:val="28"/>
                <w:lang w:val="uk-UA" w:eastAsia="uk-UA" w:bidi="ar-SA"/>
              </w:rPr>
              <w:t>вимогою</w:t>
            </w:r>
            <w:r>
              <w:rPr>
                <w:rFonts w:eastAsia="Times New Roman" w:cs="Times New Roman"/>
                <w:b/>
                <w:i/>
                <w:iCs/>
                <w:spacing w:val="80"/>
                <w:kern w:val="0"/>
                <w:sz w:val="28"/>
                <w:szCs w:val="28"/>
                <w:lang w:val="uk-UA" w:eastAsia="uk-UA" w:bidi="ar-SA"/>
              </w:rPr>
              <w:t xml:space="preserve"> </w:t>
            </w:r>
            <w:r>
              <w:rPr>
                <w:rFonts w:eastAsia="Times New Roman" w:cs="Times New Roman"/>
                <w:b/>
                <w:i/>
                <w:iCs/>
                <w:kern w:val="0"/>
                <w:sz w:val="28"/>
                <w:szCs w:val="28"/>
                <w:lang w:val="uk-UA" w:eastAsia="uk-UA" w:bidi="ar-SA"/>
              </w:rPr>
              <w:t>до</w:t>
            </w:r>
            <w:r>
              <w:rPr>
                <w:rFonts w:eastAsia="Times New Roman" w:cs="Times New Roman"/>
                <w:b/>
                <w:i/>
                <w:iCs/>
                <w:spacing w:val="80"/>
                <w:kern w:val="0"/>
                <w:sz w:val="28"/>
                <w:szCs w:val="28"/>
                <w:lang w:val="uk-UA" w:eastAsia="uk-UA" w:bidi="ar-SA"/>
              </w:rPr>
              <w:t xml:space="preserve"> </w:t>
            </w:r>
            <w:r>
              <w:rPr>
                <w:rFonts w:eastAsia="Times New Roman" w:cs="Times New Roman"/>
                <w:b/>
                <w:i/>
                <w:iCs/>
                <w:kern w:val="0"/>
                <w:sz w:val="28"/>
                <w:szCs w:val="28"/>
                <w:lang w:val="uk-UA" w:eastAsia="uk-UA" w:bidi="ar-SA"/>
              </w:rPr>
              <w:t>осіб,</w:t>
            </w:r>
            <w:r>
              <w:rPr>
                <w:rFonts w:eastAsia="Times New Roman" w:cs="Times New Roman"/>
                <w:b/>
                <w:i/>
                <w:iCs/>
                <w:spacing w:val="80"/>
                <w:kern w:val="0"/>
                <w:sz w:val="28"/>
                <w:szCs w:val="28"/>
                <w:lang w:val="uk-UA" w:eastAsia="uk-UA" w:bidi="ar-SA"/>
              </w:rPr>
              <w:t xml:space="preserve"> </w:t>
            </w:r>
            <w:r>
              <w:rPr>
                <w:rFonts w:eastAsia="Times New Roman" w:cs="Times New Roman"/>
                <w:b/>
                <w:i/>
                <w:iCs/>
                <w:kern w:val="0"/>
                <w:sz w:val="28"/>
                <w:szCs w:val="28"/>
                <w:lang w:val="uk-UA" w:eastAsia="uk-UA" w:bidi="ar-SA"/>
              </w:rPr>
              <w:t>які</w:t>
            </w:r>
            <w:r>
              <w:rPr>
                <w:rFonts w:eastAsia="Times New Roman" w:cs="Times New Roman"/>
                <w:b/>
                <w:i/>
                <w:iCs/>
                <w:spacing w:val="80"/>
                <w:kern w:val="0"/>
                <w:sz w:val="28"/>
                <w:szCs w:val="28"/>
                <w:lang w:val="uk-UA" w:eastAsia="uk-UA" w:bidi="ar-SA"/>
              </w:rPr>
              <w:t xml:space="preserve"> </w:t>
            </w:r>
            <w:r>
              <w:rPr>
                <w:rFonts w:eastAsia="Times New Roman" w:cs="Times New Roman"/>
                <w:b/>
                <w:i/>
                <w:iCs/>
                <w:kern w:val="0"/>
                <w:sz w:val="28"/>
                <w:szCs w:val="28"/>
                <w:lang w:val="uk-UA" w:eastAsia="uk-UA" w:bidi="ar-SA"/>
              </w:rPr>
              <w:t>претендують</w:t>
            </w:r>
            <w:r>
              <w:rPr>
                <w:rFonts w:eastAsia="Times New Roman" w:cs="Times New Roman"/>
                <w:b/>
                <w:i/>
                <w:iCs/>
                <w:spacing w:val="80"/>
                <w:kern w:val="0"/>
                <w:sz w:val="28"/>
                <w:szCs w:val="28"/>
                <w:lang w:val="uk-UA" w:eastAsia="uk-UA" w:bidi="ar-SA"/>
              </w:rPr>
              <w:t xml:space="preserve"> </w:t>
            </w:r>
            <w:r>
              <w:rPr>
                <w:rFonts w:eastAsia="Times New Roman" w:cs="Times New Roman"/>
                <w:b/>
                <w:i/>
                <w:iCs/>
                <w:kern w:val="0"/>
                <w:sz w:val="28"/>
                <w:szCs w:val="28"/>
                <w:lang w:val="uk-UA" w:eastAsia="uk-UA" w:bidi="ar-SA"/>
              </w:rPr>
              <w:t>на</w:t>
            </w:r>
            <w:r>
              <w:rPr>
                <w:rFonts w:eastAsia="Times New Roman" w:cs="Times New Roman"/>
                <w:b/>
                <w:i/>
                <w:iCs/>
                <w:spacing w:val="80"/>
                <w:kern w:val="0"/>
                <w:sz w:val="28"/>
                <w:szCs w:val="28"/>
                <w:lang w:val="uk-UA" w:eastAsia="uk-UA" w:bidi="ar-SA"/>
              </w:rPr>
              <w:t xml:space="preserve"> </w:t>
            </w:r>
            <w:r>
              <w:rPr>
                <w:rFonts w:eastAsia="Times New Roman" w:cs="Times New Roman"/>
                <w:b/>
                <w:i/>
                <w:iCs/>
                <w:kern w:val="0"/>
                <w:sz w:val="28"/>
                <w:szCs w:val="28"/>
                <w:lang w:val="uk-UA" w:eastAsia="uk-UA" w:bidi="ar-SA"/>
              </w:rPr>
              <w:t>посаду,</w:t>
            </w:r>
            <w:r>
              <w:rPr>
                <w:rFonts w:eastAsia="Times New Roman" w:cs="Times New Roman"/>
                <w:b/>
                <w:i/>
                <w:iCs/>
                <w:spacing w:val="80"/>
                <w:kern w:val="0"/>
                <w:sz w:val="28"/>
                <w:szCs w:val="28"/>
                <w:lang w:val="uk-UA" w:eastAsia="uk-UA" w:bidi="ar-SA"/>
              </w:rPr>
              <w:t xml:space="preserve"> </w:t>
            </w:r>
            <w:r>
              <w:rPr>
                <w:rFonts w:eastAsia="Times New Roman" w:cs="Times New Roman"/>
                <w:b/>
                <w:i/>
                <w:iCs/>
                <w:kern w:val="0"/>
                <w:sz w:val="28"/>
                <w:szCs w:val="28"/>
                <w:lang w:val="uk-UA" w:eastAsia="uk-UA" w:bidi="ar-SA"/>
              </w:rPr>
              <w:t>є наявність</w:t>
            </w:r>
            <w:r>
              <w:rPr>
                <w:rFonts w:eastAsia="Times New Roman" w:cs="Times New Roman"/>
                <w:b/>
                <w:i/>
                <w:iCs/>
                <w:spacing w:val="-1"/>
                <w:kern w:val="0"/>
                <w:sz w:val="28"/>
                <w:szCs w:val="28"/>
                <w:lang w:val="uk-UA" w:eastAsia="uk-UA" w:bidi="ar-SA"/>
              </w:rPr>
              <w:t xml:space="preserve"> </w:t>
            </w:r>
            <w:r>
              <w:rPr>
                <w:rFonts w:eastAsia="Times New Roman" w:cs="Times New Roman"/>
                <w:b/>
                <w:i/>
                <w:iCs/>
                <w:kern w:val="0"/>
                <w:sz w:val="28"/>
                <w:szCs w:val="28"/>
                <w:lang w:val="uk-UA" w:eastAsia="uk-UA" w:bidi="ar-SA"/>
              </w:rPr>
              <w:t xml:space="preserve">громадянства України та відсутність громадянства інших </w:t>
            </w:r>
            <w:r>
              <w:rPr>
                <w:rFonts w:eastAsia="Times New Roman" w:cs="Times New Roman"/>
                <w:b/>
                <w:i/>
                <w:iCs/>
                <w:spacing w:val="-2"/>
                <w:kern w:val="0"/>
                <w:sz w:val="28"/>
                <w:szCs w:val="28"/>
                <w:lang w:val="uk-UA" w:eastAsia="uk-UA" w:bidi="ar-SA"/>
              </w:rPr>
              <w:t>держав.</w:t>
            </w:r>
          </w:p>
        </w:tc>
      </w:tr>
      <w:tr>
        <w:trPr/>
        <w:tc>
          <w:tcPr>
            <w:tcW w:w="540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>1.</w:t>
            </w:r>
          </w:p>
        </w:tc>
        <w:tc>
          <w:tcPr>
            <w:tcW w:w="3004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>Освіта</w:t>
            </w:r>
          </w:p>
        </w:tc>
        <w:tc>
          <w:tcPr>
            <w:tcW w:w="595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/>
              <w:rPr>
                <w:bCs/>
                <w:szCs w:val="28"/>
              </w:rPr>
            </w:pPr>
            <w:r>
              <w:rPr>
                <w:rFonts w:eastAsia="Times New Roman" w:cs="Times New Roman"/>
                <w:kern w:val="0"/>
                <w:szCs w:val="28"/>
                <w:lang w:val="uk-UA" w:bidi="ar-SA"/>
              </w:rPr>
              <w:t xml:space="preserve">вища освіта за освітнім ступенем не нижче  молодшого бакалавра, бакалавра </w:t>
            </w:r>
            <w:r>
              <w:rPr>
                <w:rFonts w:eastAsia="Times New Roman" w:cs="Times New Roman"/>
                <w:color w:val="000000"/>
                <w:kern w:val="0"/>
                <w:sz w:val="31"/>
                <w:szCs w:val="31"/>
                <w:lang w:val="uk-UA" w:bidi="ar-SA"/>
              </w:rPr>
              <w:t>у галузі знань «Право»</w:t>
            </w:r>
          </w:p>
        </w:tc>
      </w:tr>
      <w:tr>
        <w:trPr/>
        <w:tc>
          <w:tcPr>
            <w:tcW w:w="540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>2.</w:t>
            </w:r>
          </w:p>
        </w:tc>
        <w:tc>
          <w:tcPr>
            <w:tcW w:w="3004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>Досвід роботи</w:t>
            </w:r>
          </w:p>
        </w:tc>
        <w:tc>
          <w:tcPr>
            <w:tcW w:w="595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28"/>
              <w:rPr>
                <w:bCs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shd w:fill="FFFFFF" w:val="clear"/>
                <w:lang w:val="uk-UA" w:bidi="ar-SA"/>
              </w:rPr>
              <w:t>не потребує</w:t>
            </w:r>
          </w:p>
        </w:tc>
      </w:tr>
      <w:tr>
        <w:trPr>
          <w:trHeight w:val="495" w:hRule="atLeast"/>
        </w:trPr>
        <w:tc>
          <w:tcPr>
            <w:tcW w:w="540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>3.</w:t>
            </w:r>
          </w:p>
        </w:tc>
        <w:tc>
          <w:tcPr>
            <w:tcW w:w="3004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>Володіння державною мовою</w:t>
            </w:r>
          </w:p>
        </w:tc>
        <w:tc>
          <w:tcPr>
            <w:tcW w:w="595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/>
              <w:rPr>
                <w:bCs/>
                <w:szCs w:val="28"/>
              </w:rPr>
            </w:pPr>
            <w:r>
              <w:rPr>
                <w:rFonts w:eastAsia="Times New Roman" w:cs="Times New Roman"/>
                <w:kern w:val="0"/>
                <w:szCs w:val="28"/>
                <w:lang w:val="uk-UA" w:bidi="ar-SA"/>
              </w:rPr>
              <w:t>вільне володіння державною мовою</w:t>
            </w:r>
          </w:p>
        </w:tc>
      </w:tr>
      <w:tr>
        <w:trPr>
          <w:trHeight w:val="239" w:hRule="atLeast"/>
        </w:trPr>
        <w:tc>
          <w:tcPr>
            <w:tcW w:w="54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</w:tc>
        <w:tc>
          <w:tcPr>
            <w:tcW w:w="8957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 w:left="169"/>
              <w:jc w:val="center"/>
              <w:rPr>
                <w:b/>
                <w:szCs w:val="28"/>
              </w:rPr>
            </w:pPr>
            <w:r>
              <w:rPr>
                <w:rFonts w:eastAsia="Times New Roman" w:cs="Times New Roman"/>
                <w:b/>
                <w:kern w:val="0"/>
                <w:szCs w:val="28"/>
                <w:lang w:val="uk-UA" w:bidi="ar-SA"/>
              </w:rPr>
              <w:t>Вимоги до компетентності</w:t>
            </w:r>
          </w:p>
        </w:tc>
      </w:tr>
      <w:tr>
        <w:trPr>
          <w:trHeight w:val="360" w:hRule="atLeast"/>
        </w:trPr>
        <w:tc>
          <w:tcPr>
            <w:tcW w:w="54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8"/>
              </w:rPr>
            </w:pPr>
            <w:r>
              <w:rPr>
                <w:rFonts w:eastAsia="Times New Roman" w:cs="Times New Roman"/>
                <w:kern w:val="0"/>
                <w:szCs w:val="28"/>
                <w:lang w:val="uk-UA" w:bidi="ar-SA"/>
              </w:rPr>
              <w:t>1.</w:t>
            </w:r>
          </w:p>
        </w:tc>
        <w:tc>
          <w:tcPr>
            <w:tcW w:w="297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Якісне виконання поставлених завдань</w:t>
            </w:r>
          </w:p>
        </w:tc>
        <w:tc>
          <w:tcPr>
            <w:tcW w:w="5986" w:type="dxa"/>
            <w:gridSpan w:val="2"/>
            <w:tcBorders/>
          </w:tcPr>
          <w:p>
            <w:pPr>
              <w:pStyle w:val="Normal"/>
              <w:widowControl w:val="false"/>
              <w:tabs>
                <w:tab w:val="clear" w:pos="170"/>
                <w:tab w:val="left" w:pos="398" w:leader="none"/>
              </w:tabs>
              <w:suppressAutoHyphens w:val="true"/>
              <w:spacing w:lineRule="auto" w:line="240" w:before="0" w:after="0"/>
              <w:ind w:hanging="0" w:right="-80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kern w:val="0"/>
                <w:szCs w:val="28"/>
                <w:lang w:val="uk-UA" w:bidi="ar-SA"/>
              </w:rPr>
              <w:t xml:space="preserve">- </w:t>
            </w: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чітке і точне формулювання мети, цілей і завдань службової діяльності;</w:t>
            </w:r>
          </w:p>
          <w:p>
            <w:pPr>
              <w:pStyle w:val="Normal"/>
              <w:widowControl w:val="false"/>
              <w:tabs>
                <w:tab w:val="clear" w:pos="170"/>
                <w:tab w:val="left" w:pos="398" w:leader="none"/>
              </w:tabs>
              <w:suppressAutoHyphens w:val="true"/>
              <w:spacing w:lineRule="auto" w:line="240" w:before="0" w:after="0"/>
              <w:ind w:hanging="0" w:right="-80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- комплексний підхід до виконання завдань, виявлення ризиків;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hanging="142" w:left="20" w:right="-80"/>
              <w:contextualSpacing/>
              <w:rPr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- розуміння змісту завдання і його кінцевих результатів, самостійне визначення можливих шляхів досягнення</w:t>
            </w:r>
          </w:p>
        </w:tc>
      </w:tr>
      <w:tr>
        <w:trPr>
          <w:trHeight w:val="234" w:hRule="atLeast"/>
        </w:trPr>
        <w:tc>
          <w:tcPr>
            <w:tcW w:w="54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8"/>
              </w:rPr>
            </w:pPr>
            <w:r>
              <w:rPr>
                <w:rFonts w:eastAsia="Times New Roman" w:cs="Times New Roman"/>
                <w:kern w:val="0"/>
                <w:szCs w:val="28"/>
                <w:lang w:val="uk-UA" w:bidi="ar-SA"/>
              </w:rPr>
              <w:t>2.</w:t>
            </w:r>
          </w:p>
        </w:tc>
        <w:tc>
          <w:tcPr>
            <w:tcW w:w="297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 w:left="32" w:right="106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Відповідальність, командна робота та взаємодія</w:t>
            </w:r>
          </w:p>
        </w:tc>
        <w:tc>
          <w:tcPr>
            <w:tcW w:w="5986" w:type="dxa"/>
            <w:gridSpan w:val="2"/>
            <w:tcBorders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170"/>
                <w:tab w:val="left" w:pos="190" w:leader="none"/>
              </w:tabs>
              <w:suppressAutoHyphens w:val="true"/>
              <w:spacing w:lineRule="auto" w:line="240" w:before="0" w:after="0"/>
              <w:ind w:hanging="0" w:left="0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усвідомлення важливості якісного виконання своїх посадових обов'язків з дотриманням строків та встановлених процедур;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170"/>
                <w:tab w:val="left" w:pos="190" w:leader="none"/>
              </w:tabs>
              <w:suppressAutoHyphens w:val="true"/>
              <w:spacing w:lineRule="auto" w:line="240" w:before="0" w:after="0"/>
              <w:ind w:hanging="0" w:left="0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170"/>
                <w:tab w:val="left" w:pos="190" w:leader="none"/>
              </w:tabs>
              <w:suppressAutoHyphens w:val="true"/>
              <w:spacing w:lineRule="auto" w:line="240" w:before="0" w:after="0"/>
              <w:ind w:hanging="0" w:left="0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здатність брати на себе зобов’язання, чітко їх дотримуватись і виконувати;</w:t>
            </w:r>
          </w:p>
          <w:p>
            <w:pPr>
              <w:pStyle w:val="cs61116938"/>
              <w:widowControl/>
              <w:suppressAutoHyphens w:val="true"/>
              <w:spacing w:beforeAutospacing="0" w:before="0" w:afterAutospacing="0" w:after="0"/>
              <w:ind w:hanging="0" w:right="2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uk-UA" w:bidi="ar-SA"/>
              </w:rPr>
              <w:t xml:space="preserve">-вміння працювати в </w:t>
            </w: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uk-UA" w:bidi="ar-SA"/>
              </w:rPr>
              <w:t>команді та командної взаємодії.</w:t>
            </w:r>
          </w:p>
        </w:tc>
      </w:tr>
      <w:tr>
        <w:trPr>
          <w:trHeight w:val="198" w:hRule="atLeast"/>
        </w:trPr>
        <w:tc>
          <w:tcPr>
            <w:tcW w:w="54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8"/>
              </w:rPr>
            </w:pPr>
            <w:r>
              <w:rPr>
                <w:rFonts w:eastAsia="Times New Roman" w:cs="Times New Roman"/>
                <w:kern w:val="0"/>
                <w:szCs w:val="28"/>
                <w:lang w:val="uk-UA" w:bidi="ar-SA"/>
              </w:rPr>
              <w:t>3.</w:t>
            </w:r>
          </w:p>
        </w:tc>
        <w:tc>
          <w:tcPr>
            <w:tcW w:w="2971" w:type="dxa"/>
            <w:tcBorders/>
          </w:tcPr>
          <w:p>
            <w:pPr>
              <w:pStyle w:val="cs66e64e55"/>
              <w:widowControl/>
              <w:suppressAutoHyphens w:val="true"/>
              <w:spacing w:lineRule="atLeast" w:line="183" w:before="0" w:after="280"/>
              <w:jc w:val="both"/>
              <w:rPr>
                <w:rFonts w:ascii="Times New Roman" w:hAnsi="Times New Roman" w:eastAsia="Times New Roman" w:cs="Times New Roman"/>
                <w:kern w:val="0"/>
                <w:lang w:val="uk-UA" w:bidi="ar-SA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 w:val="28"/>
                <w:szCs w:val="28"/>
                <w:lang w:val="uk-UA" w:bidi="ar-SA"/>
              </w:rPr>
              <w:t>Аналітичні здібності та обґрунтування власної позиції</w:t>
            </w:r>
          </w:p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5986" w:type="dxa"/>
            <w:gridSpan w:val="2"/>
            <w:tcBorders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170"/>
                <w:tab w:val="left" w:pos="190" w:leader="none"/>
              </w:tabs>
              <w:suppressAutoHyphens w:val="true"/>
              <w:spacing w:lineRule="auto" w:line="240" w:before="0" w:after="0"/>
              <w:ind w:hanging="0" w:left="0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здатність до логічного мислення, узагальнення, конкретизації, розкладання складних питань на складові, виділяти головне від другорядного, виявляти закономірності;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170"/>
                <w:tab w:val="left" w:pos="190" w:leader="none"/>
              </w:tabs>
              <w:suppressAutoHyphens w:val="true"/>
              <w:spacing w:lineRule="auto" w:line="240" w:before="0" w:after="0"/>
              <w:ind w:hanging="0" w:left="0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вміння встановлювати причинно-наслідкові зв’язки;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right="280"/>
              <w:rPr>
                <w:color w:val="000000"/>
                <w:szCs w:val="28"/>
                <w:lang w:eastAsia="uk-UA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-вміння аналізувати інформацію та робити висновки, критично оцінювати ситуації, прогнозувати та робити власні умовиводи</w:t>
            </w:r>
            <w:r>
              <w:rPr>
                <w:rFonts w:eastAsia="Times New Roman" w:cs="Times New Roman"/>
                <w:bCs/>
                <w:color w:val="000000"/>
                <w:kern w:val="0"/>
                <w:szCs w:val="28"/>
                <w:lang w:val="uk-UA" w:bidi="ar-SA"/>
              </w:rPr>
              <w:t>.</w:t>
            </w:r>
          </w:p>
        </w:tc>
      </w:tr>
      <w:tr>
        <w:trPr>
          <w:trHeight w:val="378" w:hRule="atLeast"/>
        </w:trPr>
        <w:tc>
          <w:tcPr>
            <w:tcW w:w="9497" w:type="dxa"/>
            <w:gridSpan w:val="4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Cs w:val="28"/>
              </w:rPr>
            </w:pPr>
            <w:r>
              <w:rPr>
                <w:rFonts w:eastAsia="Times New Roman" w:cs="Times New Roman"/>
                <w:b/>
                <w:kern w:val="0"/>
                <w:szCs w:val="28"/>
                <w:lang w:val="uk-UA" w:bidi="ar-SA"/>
              </w:rPr>
              <w:t>Професійні знання</w:t>
            </w:r>
          </w:p>
        </w:tc>
      </w:tr>
      <w:tr>
        <w:trPr>
          <w:trHeight w:val="255" w:hRule="atLeast"/>
        </w:trPr>
        <w:tc>
          <w:tcPr>
            <w:tcW w:w="3544" w:type="dxa"/>
            <w:gridSpan w:val="3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 xml:space="preserve">               </w:t>
            </w:r>
            <w:r>
              <w:rPr>
                <w:rFonts w:eastAsia="Times New Roman" w:cs="Times New Roman"/>
                <w:b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>Вимоги</w:t>
            </w:r>
          </w:p>
        </w:tc>
        <w:tc>
          <w:tcPr>
            <w:tcW w:w="595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rPr>
                <w:b/>
                <w:szCs w:val="28"/>
              </w:rPr>
            </w:pPr>
            <w:r>
              <w:rPr>
                <w:rFonts w:eastAsia="Times New Roman" w:cs="Times New Roman"/>
                <w:b/>
                <w:kern w:val="0"/>
                <w:szCs w:val="28"/>
                <w:lang w:val="uk-UA" w:bidi="ar-SA"/>
              </w:rPr>
              <w:t>Компоненти вимоги</w:t>
            </w:r>
          </w:p>
        </w:tc>
      </w:tr>
      <w:tr>
        <w:trPr>
          <w:trHeight w:val="210" w:hRule="atLeast"/>
        </w:trPr>
        <w:tc>
          <w:tcPr>
            <w:tcW w:w="540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>1.</w:t>
            </w:r>
          </w:p>
        </w:tc>
        <w:tc>
          <w:tcPr>
            <w:tcW w:w="3004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>Знання законодавства</w:t>
            </w:r>
          </w:p>
        </w:tc>
        <w:tc>
          <w:tcPr>
            <w:tcW w:w="5953" w:type="dxa"/>
            <w:tcBorders/>
          </w:tcPr>
          <w:p>
            <w:pPr>
              <w:pStyle w:val="cs66e64e55"/>
              <w:widowControl/>
              <w:suppressAutoHyphens w:val="true"/>
              <w:spacing w:beforeAutospacing="0" w:before="0" w:afterAutospacing="0" w:after="0"/>
              <w:jc w:val="both"/>
              <w:rPr>
                <w:color w:val="000000"/>
                <w:sz w:val="27"/>
                <w:szCs w:val="27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 w:val="28"/>
                <w:szCs w:val="28"/>
                <w:lang w:val="uk-UA" w:bidi="ar-SA"/>
              </w:rPr>
              <w:t>Знання:</w:t>
            </w:r>
          </w:p>
          <w:p>
            <w:pPr>
              <w:pStyle w:val="cs66e64e55"/>
              <w:widowControl/>
              <w:suppressAutoHyphens w:val="true"/>
              <w:spacing w:beforeAutospacing="0" w:before="0" w:afterAutospacing="0" w:after="0"/>
              <w:jc w:val="both"/>
              <w:rPr>
                <w:color w:val="000000"/>
                <w:sz w:val="27"/>
                <w:szCs w:val="27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 w:val="28"/>
                <w:szCs w:val="28"/>
                <w:lang w:val="uk-UA" w:bidi="ar-SA"/>
              </w:rPr>
              <w:t>- Конституції України;</w:t>
            </w:r>
          </w:p>
          <w:p>
            <w:pPr>
              <w:pStyle w:val="cs66e64e55"/>
              <w:widowControl/>
              <w:suppressAutoHyphens w:val="true"/>
              <w:spacing w:beforeAutospacing="0" w:before="0" w:afterAutospacing="0" w:after="0"/>
              <w:jc w:val="both"/>
              <w:rPr>
                <w:color w:val="000000"/>
                <w:sz w:val="27"/>
                <w:szCs w:val="27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 w:val="28"/>
                <w:szCs w:val="28"/>
                <w:lang w:val="uk-UA" w:bidi="ar-SA"/>
              </w:rPr>
              <w:t>- Закону України «Про запобігання корупції»;</w:t>
            </w:r>
          </w:p>
          <w:p>
            <w:pPr>
              <w:pStyle w:val="cs66e64e55"/>
              <w:widowControl/>
              <w:suppressAutoHyphens w:val="true"/>
              <w:spacing w:beforeAutospacing="0" w:before="0" w:afterAutospacing="0" w:after="0"/>
              <w:jc w:val="both"/>
              <w:rPr>
                <w:color w:val="000000"/>
                <w:sz w:val="27"/>
                <w:szCs w:val="27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 w:val="28"/>
                <w:szCs w:val="28"/>
                <w:lang w:val="uk-UA" w:bidi="ar-SA"/>
              </w:rPr>
              <w:t> </w:t>
            </w:r>
            <w:r>
              <w:rPr>
                <w:rStyle w:val="csd2c743de"/>
                <w:rFonts w:eastAsia="Times New Roman" w:cs="Times New Roman"/>
                <w:color w:val="000000"/>
                <w:kern w:val="0"/>
                <w:sz w:val="28"/>
                <w:szCs w:val="28"/>
                <w:lang w:val="uk-UA" w:bidi="ar-SA"/>
              </w:rPr>
              <w:t>- Закону України «Про державну службу»;</w:t>
            </w:r>
          </w:p>
          <w:p>
            <w:pPr>
              <w:pStyle w:val="cs66e64e55"/>
              <w:widowControl/>
              <w:suppressAutoHyphens w:val="true"/>
              <w:spacing w:beforeAutospacing="0" w:before="0" w:afterAutospacing="0" w:after="0"/>
              <w:jc w:val="both"/>
              <w:rPr>
                <w:color w:val="000000"/>
                <w:sz w:val="27"/>
                <w:szCs w:val="27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 w:val="28"/>
                <w:szCs w:val="28"/>
                <w:lang w:val="uk-UA" w:bidi="ar-SA"/>
              </w:rPr>
              <w:t>-</w:t>
            </w:r>
            <w:r>
              <w:rPr>
                <w:rStyle w:val="cs23fb0664"/>
                <w:rFonts w:eastAsia="Times New Roman" w:cs="Times New Roman"/>
                <w:color w:val="000000"/>
                <w:kern w:val="0"/>
                <w:lang w:val="uk-UA" w:bidi="ar-SA"/>
              </w:rPr>
              <w:t> </w:t>
            </w:r>
            <w:r>
              <w:rPr>
                <w:rStyle w:val="csd2c743de"/>
                <w:rFonts w:eastAsia="Times New Roman" w:cs="Times New Roman"/>
                <w:color w:val="000000"/>
                <w:kern w:val="0"/>
                <w:sz w:val="28"/>
                <w:szCs w:val="28"/>
                <w:lang w:val="uk-UA" w:bidi="ar-SA"/>
              </w:rPr>
              <w:t>Закон України “Про доступ до публічної інформації”</w:t>
            </w:r>
          </w:p>
          <w:p>
            <w:pPr>
              <w:pStyle w:val="cs66e64e55"/>
              <w:widowControl/>
              <w:suppressAutoHyphens w:val="true"/>
              <w:spacing w:beforeAutospacing="0" w:before="0" w:afterAutospacing="0" w:after="0"/>
              <w:jc w:val="both"/>
              <w:rPr>
                <w:color w:val="000000"/>
                <w:sz w:val="27"/>
                <w:szCs w:val="27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 w:val="28"/>
                <w:szCs w:val="28"/>
                <w:lang w:val="uk-UA" w:bidi="ar-SA"/>
              </w:rPr>
              <w:t>- Закон України “Про захист персональних даних”.</w:t>
            </w:r>
          </w:p>
        </w:tc>
      </w:tr>
      <w:tr>
        <w:trPr>
          <w:trHeight w:val="210" w:hRule="atLeast"/>
        </w:trPr>
        <w:tc>
          <w:tcPr>
            <w:tcW w:w="540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>2.</w:t>
            </w:r>
          </w:p>
        </w:tc>
        <w:tc>
          <w:tcPr>
            <w:tcW w:w="3004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>Знання законодавства у сфері</w:t>
            </w:r>
          </w:p>
        </w:tc>
        <w:tc>
          <w:tcPr>
            <w:tcW w:w="5953" w:type="dxa"/>
            <w:tcBorders/>
          </w:tcPr>
          <w:p>
            <w:pPr>
              <w:pStyle w:val="csd270a203"/>
              <w:widowControl/>
              <w:suppressAutoHyphens w:val="true"/>
              <w:spacing w:beforeAutospacing="0" w:before="0" w:afterAutospacing="0" w:after="0"/>
              <w:jc w:val="both"/>
              <w:rPr>
                <w:rFonts w:ascii="Times New Roman" w:hAnsi="Times New Roman" w:eastAsia="Times New Roman" w:cs="Times New Roman"/>
                <w:kern w:val="0"/>
                <w:lang w:val="uk-UA" w:bidi="ar-SA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 w:val="28"/>
                <w:szCs w:val="28"/>
                <w:lang w:val="uk-UA" w:bidi="ar-SA"/>
              </w:rPr>
              <w:t>Знання:</w:t>
            </w:r>
          </w:p>
          <w:p>
            <w:pPr>
              <w:pStyle w:val="csd270a203"/>
              <w:widowControl/>
              <w:suppressAutoHyphens w:val="true"/>
              <w:spacing w:beforeAutospacing="0" w:before="0" w:afterAutospacing="0" w:after="0"/>
              <w:jc w:val="both"/>
              <w:rPr>
                <w:rFonts w:ascii="Times New Roman" w:hAnsi="Times New Roman" w:eastAsia="Times New Roman" w:cs="Times New Roman"/>
                <w:kern w:val="0"/>
                <w:lang w:val="uk-UA" w:bidi="ar-SA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 w:val="28"/>
                <w:szCs w:val="28"/>
                <w:lang w:val="uk-UA" w:bidi="ar-SA"/>
              </w:rPr>
              <w:t>- Кодекс адміністративного судочинства України;</w:t>
            </w:r>
          </w:p>
          <w:p>
            <w:pPr>
              <w:pStyle w:val="csd270a203"/>
              <w:widowControl/>
              <w:suppressAutoHyphens w:val="true"/>
              <w:spacing w:beforeAutospacing="0" w:before="0" w:afterAutospacing="0" w:after="0"/>
              <w:jc w:val="both"/>
              <w:rPr>
                <w:rFonts w:ascii="Times New Roman" w:hAnsi="Times New Roman" w:eastAsia="Times New Roman" w:cs="Times New Roman"/>
                <w:kern w:val="0"/>
                <w:lang w:val="uk-UA" w:bidi="ar-SA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 w:val="28"/>
                <w:szCs w:val="28"/>
                <w:lang w:val="uk-UA" w:bidi="ar-SA"/>
              </w:rPr>
              <w:t>- Закону України «Про виконавче провадження»;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/>
              <w:rPr>
                <w:szCs w:val="28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- Закону України «Про загальнообов’язкове державне пенсійне страхування».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/>
              <w:rPr>
                <w:szCs w:val="28"/>
              </w:rPr>
            </w:pPr>
            <w:r>
              <w:rPr>
                <w:szCs w:val="28"/>
              </w:rPr>
            </w:r>
          </w:p>
        </w:tc>
      </w:tr>
    </w:tbl>
    <w:p>
      <w:pPr>
        <w:pStyle w:val="Style17"/>
        <w:ind w:hanging="0"/>
        <w:jc w:val="center"/>
        <w:rPr>
          <w:bCs/>
          <w:szCs w:val="28"/>
        </w:rPr>
      </w:pPr>
      <w:r>
        <w:rPr>
          <w:bCs/>
          <w:szCs w:val="28"/>
        </w:rPr>
        <w:t>___________________________________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701" w:right="567" w:gutter="0" w:header="567" w:top="624" w:footer="567" w:bottom="1134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OpenSymbol">
    <w:altName w:val="Arial Unicode MS"/>
    <w:charset w:val="01"/>
    <w:family w:val="auto"/>
    <w:pitch w:val="variable"/>
  </w:font>
  <w:font w:name="Courier New">
    <w:charset w:val="01"/>
    <w:family w:val="modern"/>
    <w:pitch w:val="fixed"/>
  </w:font>
  <w:font w:name="Noto Sans Symbols">
    <w:charset w:val="01"/>
    <w:family w:val="swiss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mc:AlternateContent>
        <mc:Choice Requires="wps">
          <w:drawing>
            <wp:anchor behindDoc="1" distT="0" distB="0" distL="635" distR="0" simplePos="0" locked="0" layoutInCell="0" allowOverlap="1" relativeHeight="2" wp14:anchorId="18785C1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778635" cy="1778635"/>
              <wp:effectExtent l="635" t="0" r="0" b="0"/>
              <wp:wrapNone/>
              <wp:docPr id="1" name="shape_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78760" cy="1778760"/>
                      </a:xfrm>
                      <a:custGeom>
                        <a:avLst/>
                        <a:gdLst>
                          <a:gd name="textAreaLeft" fmla="*/ 0 w 1008360"/>
                          <a:gd name="textAreaRight" fmla="*/ 1011240 w 1008360"/>
                          <a:gd name="textAreaTop" fmla="*/ 0 h 1008360"/>
                          <a:gd name="textAreaBottom" fmla="*/ 1011240 h 1008360"/>
                          <a:gd name="GluePoint1X" fmla="*/ 4943 w 4944"/>
                          <a:gd name="GluePoint1Y" fmla="*/ 4941 h 4942"/>
                          <a:gd name="GluePoint2X" fmla="*/ 0 w 4944"/>
                          <a:gd name="GluePoint2Y" fmla="*/ 4941 h 4942"/>
                          <a:gd name="GluePoint3X" fmla="*/ 0 w 4944"/>
                          <a:gd name="GluePoint3Y" fmla="*/ 0 h 4942"/>
                          <a:gd name="GluePoint4X" fmla="*/ 4943 w 4944"/>
                          <a:gd name="GluePoint4Y" fmla="*/ 0 h 4942"/>
                          <a:gd name="GluePoint5X" fmla="*/ 4943 w 4944"/>
                          <a:gd name="GluePoint5Y" fmla="*/ 4941 h 4942"/>
                        </a:gdLst>
                        <a:ahLst/>
                        <a:cxnLst>
                          <a:cxn ang="0">
                            <a:pos x="GluePoint1X" y="GluePoint1Y"/>
                          </a:cxn>
                          <a:cxn ang="0">
                            <a:pos x="GluePoint2X" y="GluePoint2Y"/>
                          </a:cxn>
                          <a:cxn ang="0">
                            <a:pos x="GluePoint3X" y="GluePoint3Y"/>
                          </a:cxn>
                          <a:cxn ang="0">
                            <a:pos x="GluePoint4X" y="GluePoint4Y"/>
                          </a:cxn>
                          <a:cxn ang="0">
                            <a:pos x="GluePoint5X" y="GluePoint5Y"/>
                          </a:cxn>
                        </a:cxnLst>
                        <a:rect l="textAreaLeft" t="textAreaTop" r="textAreaRight" b="textAreaBottom"/>
                        <a:pathLst>
                          <a:path w="4944" h="4942">
                            <a:moveTo>
                              <a:pt x="4943" y="4941"/>
                            </a:moveTo>
                            <a:lnTo>
                              <a:pt x="0" y="4941"/>
                            </a:lnTo>
                            <a:lnTo>
                              <a:pt x="0" y="0"/>
                            </a:lnTo>
                            <a:lnTo>
                              <a:pt x="4943" y="0"/>
                            </a:lnTo>
                            <a:lnTo>
                              <a:pt x="4943" y="4941"/>
                            </a:lnTo>
                          </a:path>
                        </a:pathLst>
                      </a:cu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>
        <w:sz w:val="20"/>
      </w:rPr>
    </w:pPr>
    <w:r>
      <w:rPr>
        <w:sz w:val="20"/>
      </w:rPr>
      <mc:AlternateContent>
        <mc:Choice Requires="wps">
          <w:drawing>
            <wp:anchor behindDoc="1" distT="0" distB="635" distL="0" distR="0" simplePos="0" locked="0" layoutInCell="0" allowOverlap="1" relativeHeight="6" wp14:anchorId="5C709FA9">
              <wp:simplePos x="0" y="0"/>
              <wp:positionH relativeFrom="margin">
                <wp:align>center</wp:align>
              </wp:positionH>
              <wp:positionV relativeFrom="paragraph">
                <wp:posOffset>-23589615</wp:posOffset>
              </wp:positionV>
              <wp:extent cx="3933190" cy="1551940"/>
              <wp:effectExtent l="0" t="0" r="0" b="635"/>
              <wp:wrapNone/>
              <wp:docPr id="2" name="shape_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33360" cy="1551960"/>
                      </a:xfrm>
                      <a:custGeom>
                        <a:avLst/>
                        <a:gdLst>
                          <a:gd name="textAreaLeft" fmla="*/ 0 w 2229840"/>
                          <a:gd name="textAreaRight" fmla="*/ 2232720 w 2229840"/>
                          <a:gd name="textAreaTop" fmla="*/ 0 h 879840"/>
                          <a:gd name="textAreaBottom" fmla="*/ 882720 h 879840"/>
                          <a:gd name="GluePoint1X" fmla="*/ 10928 w 10929"/>
                          <a:gd name="GluePoint1Y" fmla="*/ 4313 h 4314"/>
                          <a:gd name="GluePoint2X" fmla="*/ 10928 w 10929"/>
                          <a:gd name="GluePoint2Y" fmla="*/ 0 h 4314"/>
                          <a:gd name="GluePoint3X" fmla="*/ 10928 w 10929"/>
                          <a:gd name="GluePoint3Y" fmla="*/ 4313 h 4314"/>
                          <a:gd name="GluePoint4X" fmla="*/ 0 w 10929"/>
                          <a:gd name="GluePoint4Y" fmla="*/ 4313 h 4314"/>
                          <a:gd name="GluePoint5X" fmla="*/ 0 w 10929"/>
                          <a:gd name="GluePoint5Y" fmla="*/ 0 h 4314"/>
                        </a:gdLst>
                        <a:ahLst/>
                        <a:cxnLst>
                          <a:cxn ang="0">
                            <a:pos x="GluePoint1X" y="GluePoint1Y"/>
                          </a:cxn>
                          <a:cxn ang="0">
                            <a:pos x="GluePoint2X" y="GluePoint2Y"/>
                          </a:cxn>
                          <a:cxn ang="0">
                            <a:pos x="GluePoint3X" y="GluePoint3Y"/>
                          </a:cxn>
                          <a:cxn ang="0">
                            <a:pos x="GluePoint4X" y="GluePoint4Y"/>
                          </a:cxn>
                          <a:cxn ang="0">
                            <a:pos x="GluePoint5X" y="GluePoint5Y"/>
                          </a:cxn>
                        </a:cxnLst>
                        <a:rect l="textAreaLeft" t="textAreaTop" r="textAreaRight" b="textAreaBottom"/>
                        <a:pathLst>
                          <a:path w="10929" h="4314">
                            <a:moveTo>
                              <a:pt x="10928" y="4313"/>
                            </a:moveTo>
                            <a:lnTo>
                              <a:pt x="10928" y="0"/>
                            </a:lnTo>
                            <a:lnTo>
                              <a:pt x="10928" y="4313"/>
                            </a:lnTo>
                            <a:lnTo>
                              <a:pt x="0" y="4313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">
    <w:lvl w:ilvl="0">
      <w:start w:val="1"/>
      <w:numFmt w:val="bullet"/>
      <w:lvlText w:val="-"/>
      <w:lvlJc w:val="left"/>
      <w:pPr>
        <w:tabs>
          <w:tab w:val="num" w:pos="0"/>
        </w:tabs>
        <w:ind w:left="2061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78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3501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4221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94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5661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6381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0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7821" w:hanging="360"/>
      </w:pPr>
      <w:rPr>
        <w:rFonts w:ascii="Noto Sans Symbols" w:hAnsi="Noto Sans Symbols" w:cs="Noto Sans Symbol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embedSystemFonts/>
  <w:defaultTabStop w:val="17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tepHandle" w:val="262696"/>
  </w:docVars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174f4"/>
    <w:pPr>
      <w:widowControl/>
      <w:suppressAutoHyphens w:val="true"/>
      <w:bidi w:val="0"/>
      <w:spacing w:lineRule="auto" w:line="276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uk-UA" w:eastAsia="ru-RU" w:bidi="ar-SA"/>
    </w:rPr>
  </w:style>
  <w:style w:type="paragraph" w:styleId="Heading1">
    <w:name w:val="heading 1"/>
    <w:basedOn w:val="Normal"/>
    <w:next w:val="Normal"/>
    <w:qFormat/>
    <w:rsid w:val="00a0742f"/>
    <w:pPr>
      <w:keepNext w:val="true"/>
      <w:spacing w:before="240" w:after="0"/>
      <w:ind w:left="567"/>
      <w:outlineLvl w:val="0"/>
    </w:pPr>
    <w:rPr>
      <w:b/>
      <w:smallCaps/>
    </w:rPr>
  </w:style>
  <w:style w:type="paragraph" w:styleId="Heading2">
    <w:name w:val="heading 2"/>
    <w:basedOn w:val="Normal"/>
    <w:next w:val="Normal"/>
    <w:qFormat/>
    <w:rsid w:val="00a0742f"/>
    <w:pPr>
      <w:keepNext w:val="true"/>
      <w:spacing w:before="120" w:after="0"/>
      <w:ind w:left="567"/>
      <w:outlineLvl w:val="1"/>
    </w:pPr>
    <w:rPr>
      <w:b/>
    </w:rPr>
  </w:style>
  <w:style w:type="paragraph" w:styleId="Heading3">
    <w:name w:val="heading 3"/>
    <w:basedOn w:val="Normal"/>
    <w:next w:val="Normal"/>
    <w:link w:val="31"/>
    <w:qFormat/>
    <w:rsid w:val="00a0742f"/>
    <w:pPr>
      <w:keepNext w:val="true"/>
      <w:spacing w:before="120" w:after="0"/>
      <w:ind w:left="567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rsid w:val="00a0742f"/>
    <w:pPr>
      <w:keepNext w:val="true"/>
      <w:spacing w:before="120" w:after="0"/>
      <w:ind w:left="567"/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uiPriority w:val="99"/>
    <w:unhideWhenUsed/>
    <w:rsid w:val="009a0ab5"/>
    <w:rPr>
      <w:color w:val="0000FF"/>
      <w:u w:val="single"/>
    </w:rPr>
  </w:style>
  <w:style w:type="character" w:styleId="Style10" w:customStyle="1">
    <w:name w:val="Текст у виносці Знак"/>
    <w:basedOn w:val="DefaultParagraphFont"/>
    <w:link w:val="BalloonText"/>
    <w:uiPriority w:val="99"/>
    <w:semiHidden/>
    <w:qFormat/>
    <w:rsid w:val="00c6272e"/>
    <w:rPr>
      <w:rFonts w:ascii="Segoe UI" w:hAnsi="Segoe UI" w:cs="Segoe UI"/>
      <w:sz w:val="18"/>
      <w:szCs w:val="18"/>
      <w:lang w:eastAsia="ru-RU"/>
    </w:rPr>
  </w:style>
  <w:style w:type="character" w:styleId="1" w:customStyle="1">
    <w:name w:val="Неразрешенное упоминание1"/>
    <w:basedOn w:val="DefaultParagraphFont"/>
    <w:uiPriority w:val="99"/>
    <w:semiHidden/>
    <w:unhideWhenUsed/>
    <w:qFormat/>
    <w:rsid w:val="0013193b"/>
    <w:rPr>
      <w:color w:val="605E5C"/>
      <w:shd w:fill="E1DFDD" w:val="clear"/>
    </w:rPr>
  </w:style>
  <w:style w:type="character" w:styleId="rvts46" w:customStyle="1">
    <w:name w:val="rvts46"/>
    <w:basedOn w:val="DefaultParagraphFont"/>
    <w:qFormat/>
    <w:rsid w:val="00617106"/>
    <w:rPr/>
  </w:style>
  <w:style w:type="character" w:styleId="rvts37" w:customStyle="1">
    <w:name w:val="rvts37"/>
    <w:basedOn w:val="DefaultParagraphFont"/>
    <w:qFormat/>
    <w:rsid w:val="00617106"/>
    <w:rPr/>
  </w:style>
  <w:style w:type="character" w:styleId="rvts11" w:customStyle="1">
    <w:name w:val="rvts11"/>
    <w:basedOn w:val="DefaultParagraphFont"/>
    <w:qFormat/>
    <w:rsid w:val="00617106"/>
    <w:rPr/>
  </w:style>
  <w:style w:type="character" w:styleId="rvts23" w:customStyle="1">
    <w:name w:val="rvts23"/>
    <w:qFormat/>
    <w:rsid w:val="00280514"/>
    <w:rPr/>
  </w:style>
  <w:style w:type="character" w:styleId="Style11" w:customStyle="1">
    <w:name w:val="Основний текст Знак"/>
    <w:basedOn w:val="DefaultParagraphFont"/>
    <w:qFormat/>
    <w:rsid w:val="000333ef"/>
    <w:rPr>
      <w:sz w:val="28"/>
      <w:lang w:eastAsia="ru-RU"/>
    </w:rPr>
  </w:style>
  <w:style w:type="character" w:styleId="3" w:customStyle="1">
    <w:name w:val="Основний текст з відступом 3 Знак"/>
    <w:basedOn w:val="DefaultParagraphFont"/>
    <w:link w:val="BodyTextIndent3"/>
    <w:uiPriority w:val="99"/>
    <w:qFormat/>
    <w:rsid w:val="001f4aca"/>
    <w:rPr>
      <w:rFonts w:eastAsia="Calibri" w:cs="" w:cstheme="minorBidi" w:eastAsiaTheme="minorHAnsi"/>
      <w:sz w:val="16"/>
      <w:szCs w:val="16"/>
      <w:lang w:eastAsia="en-US"/>
    </w:rPr>
  </w:style>
  <w:style w:type="character" w:styleId="Style12" w:customStyle="1">
    <w:name w:val="Верхній колонтитул Знак"/>
    <w:basedOn w:val="DefaultParagraphFont"/>
    <w:uiPriority w:val="99"/>
    <w:qFormat/>
    <w:rsid w:val="00125745"/>
    <w:rPr>
      <w:sz w:val="28"/>
      <w:lang w:eastAsia="ru-RU"/>
    </w:rPr>
  </w:style>
  <w:style w:type="character" w:styleId="Style13" w:customStyle="1">
    <w:name w:val="Підзаголовок Знак"/>
    <w:basedOn w:val="DefaultParagraphFont"/>
    <w:uiPriority w:val="99"/>
    <w:qFormat/>
    <w:rsid w:val="00de0c41"/>
    <w:rPr>
      <w:b/>
      <w:sz w:val="28"/>
    </w:rPr>
  </w:style>
  <w:style w:type="character" w:styleId="FontStyle11" w:customStyle="1">
    <w:name w:val="Font Style11"/>
    <w:basedOn w:val="DefaultParagraphFont"/>
    <w:uiPriority w:val="99"/>
    <w:qFormat/>
    <w:rsid w:val="00d76ed3"/>
    <w:rPr>
      <w:rFonts w:ascii="Times New Roman" w:hAnsi="Times New Roman" w:cs="Times New Roman"/>
      <w:sz w:val="26"/>
      <w:szCs w:val="26"/>
    </w:rPr>
  </w:style>
  <w:style w:type="character" w:styleId="csd2c743de" w:customStyle="1">
    <w:name w:val="csd2c743de"/>
    <w:basedOn w:val="DefaultParagraphFont"/>
    <w:qFormat/>
    <w:rsid w:val="00942a1b"/>
    <w:rPr/>
  </w:style>
  <w:style w:type="character" w:styleId="cs23fb0664" w:customStyle="1">
    <w:name w:val="cs23fb0664"/>
    <w:basedOn w:val="DefaultParagraphFont"/>
    <w:qFormat/>
    <w:rsid w:val="00942a1b"/>
    <w:rPr/>
  </w:style>
  <w:style w:type="character" w:styleId="31" w:customStyle="1">
    <w:name w:val="Заголовок 3 Знак"/>
    <w:basedOn w:val="DefaultParagraphFont"/>
    <w:qFormat/>
    <w:rsid w:val="003536e7"/>
    <w:rPr>
      <w:b/>
      <w:i/>
      <w:sz w:val="28"/>
      <w:lang w:eastAsia="ru-RU"/>
    </w:rPr>
  </w:style>
  <w:style w:type="character" w:styleId="Strong">
    <w:name w:val="Strong"/>
    <w:basedOn w:val="DefaultParagraphFont"/>
    <w:qFormat/>
    <w:rsid w:val="00ac24ac"/>
    <w:rPr>
      <w:b/>
      <w:bCs/>
    </w:rPr>
  </w:style>
  <w:style w:type="character" w:styleId="11" w:customStyle="1">
    <w:name w:val="Незакрита згадка1"/>
    <w:basedOn w:val="DefaultParagraphFont"/>
    <w:qFormat/>
    <w:rsid w:val="00ac24ac"/>
    <w:rPr>
      <w:color w:val="605E5C"/>
      <w:shd w:fill="E1DFDD" w:val="clear"/>
    </w:rPr>
  </w:style>
  <w:style w:type="paragraph" w:styleId="Style14" w:customStyle="1">
    <w:name w:val="Заголовок"/>
    <w:basedOn w:val="Normal"/>
    <w:next w:val="BodyText"/>
    <w:qFormat/>
    <w:rsid w:val="00ac24ac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BodyText">
    <w:name w:val="Body Text"/>
    <w:basedOn w:val="Normal"/>
    <w:link w:val="Style11"/>
    <w:unhideWhenUsed/>
    <w:rsid w:val="000333ef"/>
    <w:pPr>
      <w:spacing w:lineRule="auto" w:line="240"/>
      <w:ind w:hanging="0"/>
      <w:jc w:val="center"/>
    </w:pPr>
    <w:rPr/>
  </w:style>
  <w:style w:type="paragraph" w:styleId="List">
    <w:name w:val="List"/>
    <w:basedOn w:val="BodyText"/>
    <w:rsid w:val="00ac24ac"/>
    <w:pPr/>
    <w:rPr>
      <w:rFonts w:cs="Lucida Sans"/>
    </w:rPr>
  </w:style>
  <w:style w:type="paragraph" w:styleId="Caption">
    <w:name w:val="caption"/>
    <w:basedOn w:val="Normal"/>
    <w:qFormat/>
    <w:rsid w:val="00ac24ac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5" w:customStyle="1">
    <w:name w:val="Покажчик"/>
    <w:basedOn w:val="Normal"/>
    <w:qFormat/>
    <w:rsid w:val="00ac24ac"/>
    <w:pPr>
      <w:suppressLineNumbers/>
    </w:pPr>
    <w:rPr>
      <w:rFonts w:cs="Lucida Sans"/>
    </w:rPr>
  </w:style>
  <w:style w:type="paragraph" w:styleId="user" w:customStyle="1">
    <w:name w:val="Заголовок (user)"/>
    <w:basedOn w:val="Normal"/>
    <w:next w:val="BodyText"/>
    <w:qFormat/>
    <w:rsid w:val="00ac24ac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user1" w:customStyle="1">
    <w:name w:val="Покажчик (user)"/>
    <w:basedOn w:val="Normal"/>
    <w:qFormat/>
    <w:rsid w:val="00ac24ac"/>
    <w:pPr>
      <w:suppressLineNumbers/>
    </w:pPr>
    <w:rPr>
      <w:rFonts w:cs="Lucida Sans"/>
    </w:rPr>
  </w:style>
  <w:style w:type="paragraph" w:styleId="user2" w:customStyle="1">
    <w:name w:val="Верхній і нижній колонтитули (user)"/>
    <w:basedOn w:val="Normal"/>
    <w:qFormat/>
    <w:rsid w:val="00ac24ac"/>
    <w:pPr/>
    <w:rPr/>
  </w:style>
  <w:style w:type="paragraph" w:styleId="Style16" w:customStyle="1">
    <w:name w:val="Верхній і нижній колонтитули"/>
    <w:basedOn w:val="Normal"/>
    <w:qFormat/>
    <w:rsid w:val="00ac24ac"/>
    <w:pPr/>
    <w:rPr/>
  </w:style>
  <w:style w:type="paragraph" w:styleId="Footer">
    <w:name w:val="footer"/>
    <w:basedOn w:val="Normal"/>
    <w:rsid w:val="00a0742f"/>
    <w:pPr>
      <w:tabs>
        <w:tab w:val="clear" w:pos="170"/>
        <w:tab w:val="center" w:pos="4153" w:leader="none"/>
        <w:tab w:val="right" w:pos="8306" w:leader="none"/>
      </w:tabs>
    </w:pPr>
    <w:rPr/>
  </w:style>
  <w:style w:type="paragraph" w:styleId="Style17" w:customStyle="1">
    <w:name w:val="Нормальний текст"/>
    <w:basedOn w:val="Normal"/>
    <w:qFormat/>
    <w:rsid w:val="00a0742f"/>
    <w:pPr>
      <w:spacing w:before="120" w:after="0"/>
      <w:ind w:firstLine="567"/>
    </w:pPr>
    <w:rPr/>
  </w:style>
  <w:style w:type="paragraph" w:styleId="Style18" w:customStyle="1">
    <w:name w:val="Шапка документу"/>
    <w:basedOn w:val="Normal"/>
    <w:qFormat/>
    <w:rsid w:val="00a0742f"/>
    <w:pPr>
      <w:keepNext w:val="true"/>
      <w:keepLines/>
      <w:spacing w:before="0" w:after="240"/>
      <w:ind w:left="4536"/>
      <w:jc w:val="center"/>
    </w:pPr>
    <w:rPr/>
  </w:style>
  <w:style w:type="paragraph" w:styleId="Header">
    <w:name w:val="header"/>
    <w:basedOn w:val="Normal"/>
    <w:link w:val="Style12"/>
    <w:uiPriority w:val="99"/>
    <w:rsid w:val="00a0742f"/>
    <w:pPr>
      <w:tabs>
        <w:tab w:val="clear" w:pos="170"/>
        <w:tab w:val="center" w:pos="4153" w:leader="none"/>
        <w:tab w:val="right" w:pos="8306" w:leader="none"/>
      </w:tabs>
    </w:pPr>
    <w:rPr/>
  </w:style>
  <w:style w:type="paragraph" w:styleId="12" w:customStyle="1">
    <w:name w:val="Підпис1"/>
    <w:basedOn w:val="Normal"/>
    <w:qFormat/>
    <w:rsid w:val="00a0742f"/>
    <w:pPr>
      <w:keepLines/>
      <w:tabs>
        <w:tab w:val="clear" w:pos="170"/>
        <w:tab w:val="center" w:pos="2268" w:leader="none"/>
        <w:tab w:val="left" w:pos="6804" w:leader="none"/>
      </w:tabs>
      <w:spacing w:before="360" w:after="0"/>
    </w:pPr>
    <w:rPr>
      <w:b/>
      <w:position w:val="-48"/>
    </w:rPr>
  </w:style>
  <w:style w:type="paragraph" w:styleId="Style19" w:customStyle="1">
    <w:name w:val="Глава документу"/>
    <w:basedOn w:val="Normal"/>
    <w:next w:val="Normal"/>
    <w:qFormat/>
    <w:rsid w:val="00a0742f"/>
    <w:pPr>
      <w:keepNext w:val="true"/>
      <w:keepLines/>
      <w:spacing w:before="120" w:after="120"/>
      <w:jc w:val="center"/>
    </w:pPr>
    <w:rPr/>
  </w:style>
  <w:style w:type="paragraph" w:styleId="Style20" w:customStyle="1">
    <w:name w:val="Герб"/>
    <w:basedOn w:val="Normal"/>
    <w:qFormat/>
    <w:rsid w:val="00a0742f"/>
    <w:pPr>
      <w:keepNext w:val="true"/>
      <w:keepLines/>
      <w:jc w:val="center"/>
    </w:pPr>
    <w:rPr>
      <w:sz w:val="144"/>
      <w:lang w:val="en-US"/>
    </w:rPr>
  </w:style>
  <w:style w:type="paragraph" w:styleId="Style21" w:customStyle="1">
    <w:name w:val="Установа"/>
    <w:basedOn w:val="Normal"/>
    <w:qFormat/>
    <w:rsid w:val="00a0742f"/>
    <w:pPr>
      <w:keepNext w:val="true"/>
      <w:keepLines/>
      <w:spacing w:before="120" w:after="0"/>
      <w:jc w:val="center"/>
    </w:pPr>
    <w:rPr>
      <w:b/>
      <w:sz w:val="40"/>
    </w:rPr>
  </w:style>
  <w:style w:type="paragraph" w:styleId="Style22" w:customStyle="1">
    <w:name w:val="Вид документа"/>
    <w:basedOn w:val="Style21"/>
    <w:next w:val="Normal"/>
    <w:qFormat/>
    <w:rsid w:val="00a0742f"/>
    <w:pPr>
      <w:spacing w:before="360" w:after="240"/>
    </w:pPr>
    <w:rPr>
      <w:spacing w:val="20"/>
      <w:sz w:val="26"/>
    </w:rPr>
  </w:style>
  <w:style w:type="paragraph" w:styleId="Style23" w:customStyle="1">
    <w:name w:val="Час та місце"/>
    <w:basedOn w:val="Normal"/>
    <w:qFormat/>
    <w:rsid w:val="00a0742f"/>
    <w:pPr>
      <w:keepNext w:val="true"/>
      <w:keepLines/>
      <w:spacing w:before="120" w:after="240"/>
      <w:jc w:val="center"/>
    </w:pPr>
    <w:rPr/>
  </w:style>
  <w:style w:type="paragraph" w:styleId="Style24" w:customStyle="1">
    <w:name w:val="Назва документа"/>
    <w:basedOn w:val="Normal"/>
    <w:next w:val="Style17"/>
    <w:qFormat/>
    <w:rsid w:val="00a0742f"/>
    <w:pPr>
      <w:keepNext w:val="true"/>
      <w:keepLines/>
      <w:spacing w:before="240" w:after="240"/>
      <w:jc w:val="center"/>
    </w:pPr>
    <w:rPr>
      <w:b/>
    </w:rPr>
  </w:style>
  <w:style w:type="paragraph" w:styleId="NormalText" w:customStyle="1">
    <w:name w:val="Normal Text"/>
    <w:basedOn w:val="Normal"/>
    <w:qFormat/>
    <w:rsid w:val="00a0742f"/>
    <w:pPr>
      <w:ind w:firstLine="567"/>
    </w:pPr>
    <w:rPr/>
  </w:style>
  <w:style w:type="paragraph" w:styleId="ShapkaDocumentu" w:customStyle="1">
    <w:name w:val="Shapka Documentu"/>
    <w:basedOn w:val="NormalText"/>
    <w:qFormat/>
    <w:rsid w:val="00a0742f"/>
    <w:pPr>
      <w:keepNext w:val="true"/>
      <w:keepLines/>
      <w:spacing w:before="0" w:after="240"/>
      <w:ind w:hanging="0" w:left="3969"/>
      <w:jc w:val="center"/>
    </w:pPr>
    <w:rPr/>
  </w:style>
  <w:style w:type="paragraph" w:styleId="Default" w:customStyle="1">
    <w:name w:val="Default"/>
    <w:qFormat/>
    <w:rsid w:val="00131b1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uk-UA" w:eastAsia="uk-UA" w:bidi="ar-SA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c6272e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rvps2" w:customStyle="1">
    <w:name w:val="rvps2"/>
    <w:basedOn w:val="Normal"/>
    <w:qFormat/>
    <w:rsid w:val="00617106"/>
    <w:pPr>
      <w:spacing w:lineRule="auto" w:line="240" w:beforeAutospacing="1" w:afterAutospacing="1"/>
      <w:ind w:hanging="0"/>
      <w:jc w:val="left"/>
    </w:pPr>
    <w:rPr>
      <w:sz w:val="24"/>
      <w:szCs w:val="24"/>
    </w:rPr>
  </w:style>
  <w:style w:type="paragraph" w:styleId="NormalWeb">
    <w:name w:val="Normal (Web)"/>
    <w:basedOn w:val="Normal"/>
    <w:qFormat/>
    <w:rsid w:val="00d44706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BodyTextIndent3">
    <w:name w:val="Body Text Indent 3"/>
    <w:basedOn w:val="Normal"/>
    <w:link w:val="3"/>
    <w:uiPriority w:val="99"/>
    <w:unhideWhenUsed/>
    <w:qFormat/>
    <w:rsid w:val="001f4aca"/>
    <w:pPr>
      <w:spacing w:before="0" w:after="120"/>
      <w:ind w:hanging="0" w:left="283"/>
      <w:jc w:val="left"/>
    </w:pPr>
    <w:rPr>
      <w:rFonts w:eastAsia="Calibri" w:cs="" w:cstheme="minorBidi" w:eastAsiaTheme="minorHAnsi"/>
      <w:sz w:val="16"/>
      <w:szCs w:val="16"/>
      <w:lang w:eastAsia="en-US"/>
    </w:rPr>
  </w:style>
  <w:style w:type="paragraph" w:styleId="rvps12" w:customStyle="1">
    <w:name w:val="rvps12"/>
    <w:basedOn w:val="Normal"/>
    <w:qFormat/>
    <w:rsid w:val="00397565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197d14"/>
    <w:pPr>
      <w:spacing w:before="0" w:after="0"/>
      <w:ind w:left="720"/>
      <w:contextualSpacing/>
    </w:pPr>
    <w:rPr/>
  </w:style>
  <w:style w:type="paragraph" w:styleId="Subtitle">
    <w:name w:val="Subtitle"/>
    <w:basedOn w:val="Normal"/>
    <w:link w:val="Style13"/>
    <w:uiPriority w:val="99"/>
    <w:qFormat/>
    <w:rsid w:val="00de0c41"/>
    <w:pPr>
      <w:spacing w:lineRule="auto" w:line="240"/>
      <w:ind w:hanging="0"/>
      <w:jc w:val="center"/>
    </w:pPr>
    <w:rPr>
      <w:b/>
    </w:rPr>
  </w:style>
  <w:style w:type="paragraph" w:styleId="13" w:customStyle="1">
    <w:name w:val="Звичайний1"/>
    <w:qFormat/>
    <w:rsid w:val="00551e65"/>
    <w:pPr>
      <w:widowControl w:val="false"/>
      <w:suppressAutoHyphens w:val="true"/>
      <w:bidi w:val="0"/>
      <w:spacing w:lineRule="auto" w:line="262" w:before="0" w:after="0"/>
      <w:ind w:firstLine="580"/>
      <w:jc w:val="both"/>
    </w:pPr>
    <w:rPr>
      <w:rFonts w:ascii="Times New Roman" w:hAnsi="Times New Roman" w:eastAsia="Times New Roman" w:cs="Times New Roman"/>
      <w:color w:val="auto"/>
      <w:kern w:val="0"/>
      <w:sz w:val="18"/>
      <w:szCs w:val="20"/>
      <w:lang w:val="uk-UA" w:eastAsia="ru-RU" w:bidi="ar-SA"/>
    </w:rPr>
  </w:style>
  <w:style w:type="paragraph" w:styleId="cs75c6c94b" w:customStyle="1">
    <w:name w:val="cs75c6c94b"/>
    <w:basedOn w:val="Normal"/>
    <w:qFormat/>
    <w:rsid w:val="00942a1b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61116938" w:customStyle="1">
    <w:name w:val="cs61116938"/>
    <w:basedOn w:val="Normal"/>
    <w:qFormat/>
    <w:rsid w:val="00942a1b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66e64e55" w:customStyle="1">
    <w:name w:val="cs66e64e55"/>
    <w:basedOn w:val="Normal"/>
    <w:qFormat/>
    <w:rsid w:val="00942a1b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d270a203" w:customStyle="1">
    <w:name w:val="csd270a203"/>
    <w:basedOn w:val="Normal"/>
    <w:qFormat/>
    <w:rsid w:val="00942a1b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user3" w:customStyle="1">
    <w:name w:val="Вміст рамки (user)"/>
    <w:basedOn w:val="Normal"/>
    <w:qFormat/>
    <w:rsid w:val="00ac24ac"/>
    <w:pPr/>
    <w:rPr/>
  </w:style>
  <w:style w:type="paragraph" w:styleId="Style25" w:customStyle="1">
    <w:name w:val="Вміст рамки"/>
    <w:basedOn w:val="Normal"/>
    <w:qFormat/>
    <w:rsid w:val="00ac24ac"/>
    <w:pPr/>
    <w:rPr/>
  </w:style>
  <w:style w:type="paragraph" w:styleId="311" w:customStyle="1">
    <w:name w:val="Основной текст (3)1"/>
    <w:basedOn w:val="Normal"/>
    <w:qFormat/>
    <w:rsid w:val="00ac24ac"/>
    <w:pPr>
      <w:widowControl w:val="false"/>
      <w:shd w:val="clear" w:color="auto" w:fill="FFFFFF"/>
      <w:spacing w:lineRule="atLeast" w:line="240" w:before="0" w:after="600"/>
      <w:ind w:hanging="0"/>
      <w:jc w:val="left"/>
    </w:pPr>
    <w:rPr>
      <w:rFonts w:ascii="Courier New" w:hAnsi="Courier New"/>
      <w:spacing w:val="2"/>
      <w:sz w:val="17"/>
    </w:rPr>
  </w:style>
  <w:style w:type="numbering" w:styleId="user4" w:customStyle="1">
    <w:name w:val="Без маркерів (user)"/>
    <w:uiPriority w:val="99"/>
    <w:semiHidden/>
    <w:unhideWhenUsed/>
    <w:qFormat/>
    <w:rsid w:val="00ac24ac"/>
  </w:style>
  <w:style w:type="numbering" w:styleId="Style26" w:customStyle="1">
    <w:name w:val="Без маркерів"/>
    <w:qFormat/>
    <w:rsid w:val="00ac24ac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">
    <w:name w:val="Table Grid"/>
    <w:basedOn w:val="a1"/>
    <w:uiPriority w:val="59"/>
    <w:rsid w:val="00131b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Офіс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9F3AF-5579-4624-B64A-161A48DE5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Application>LibreOffice/26.2.0.3$Windows_X86_64 LibreOffice_project/620$Build-3</Application>
  <AppVersion>15.0000</AppVersion>
  <Pages>5</Pages>
  <Words>929</Words>
  <Characters>6463</Characters>
  <CharactersWithSpaces>7327</CharactersWithSpaces>
  <Paragraphs>75</Paragraphs>
  <Company>KMU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2026-06-01T07:48:00Z</dcterms:created>
  <dc:creator>1-1</dc:creator>
  <dc:description/>
  <dc:language>uk-UA</dc:language>
  <cp:lastModifiedBy/>
  <cp:lastPrinted>2021-03-22T13:07:00Z</cp:lastPrinted>
  <dcterms:modified xsi:type="dcterms:W3CDTF">2026-08-17T14:29:32Z</dcterms:modified>
  <cp:revision>13</cp:revision>
  <dc:subject/>
  <dc:title>£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