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left="4819"/>
        <w:jc w:val="left"/>
        <w:rPr>
          <w:bCs/>
        </w:rPr>
      </w:pPr>
      <w:r>
        <w:rPr>
          <w:bCs/>
        </w:rPr>
        <w:t>Додаток</w:t>
      </w:r>
    </w:p>
    <w:p>
      <w:pPr>
        <w:pStyle w:val="Normal"/>
        <w:ind w:hanging="0" w:left="4819"/>
        <w:jc w:val="left"/>
        <w:rPr>
          <w:bCs/>
        </w:rPr>
      </w:pPr>
      <w:r>
        <w:rPr>
          <w:bCs/>
        </w:rPr>
        <w:t xml:space="preserve">до Наказу </w:t>
      </w:r>
    </w:p>
    <w:p>
      <w:pPr>
        <w:pStyle w:val="Normal"/>
        <w:ind w:hanging="0" w:left="4819"/>
        <w:jc w:val="left"/>
        <w:rPr>
          <w:bCs/>
        </w:rPr>
      </w:pPr>
      <w:r>
        <w:rPr>
          <w:bCs/>
        </w:rPr>
        <w:t xml:space="preserve">Головного управління </w:t>
      </w:r>
    </w:p>
    <w:p>
      <w:pPr>
        <w:pStyle w:val="Normal"/>
        <w:ind w:hanging="0" w:left="4819"/>
        <w:jc w:val="left"/>
        <w:rPr>
          <w:bCs/>
        </w:rPr>
      </w:pPr>
      <w:r>
        <w:rPr>
          <w:bCs/>
        </w:rPr>
        <w:t xml:space="preserve">Пенсійного фонду України в м. Києві </w:t>
      </w:r>
    </w:p>
    <w:p>
      <w:pPr>
        <w:pStyle w:val="Normal"/>
        <w:ind w:hanging="0" w:left="4819"/>
        <w:jc w:val="left"/>
        <w:rPr>
          <w:bCs/>
        </w:rPr>
      </w:pPr>
      <w:r>
        <w:rPr/>
        <w:t>від “17” серпня 2026 року №________</w:t>
      </w:r>
    </w:p>
    <w:p>
      <w:pPr>
        <w:pStyle w:val="Normal"/>
        <w:ind w:hanging="0"/>
        <w:jc w:val="center"/>
        <w:rPr>
          <w:bCs/>
          <w:szCs w:val="24"/>
        </w:rPr>
      </w:pPr>
      <w:r>
        <w:rPr>
          <w:b w:val="false"/>
          <w:bCs/>
          <w:i w:val="false"/>
          <w:szCs w:val="28"/>
          <w:lang w:val="uk-UA"/>
        </w:rPr>
      </w:r>
    </w:p>
    <w:p>
      <w:pPr>
        <w:pStyle w:val="Normal"/>
        <w:ind w:hanging="0"/>
        <w:jc w:val="center"/>
        <w:rPr>
          <w:bCs/>
          <w:szCs w:val="24"/>
        </w:rPr>
      </w:pPr>
      <w:r>
        <w:rPr>
          <w:b w:val="false"/>
          <w:bCs/>
          <w:i w:val="false"/>
          <w:szCs w:val="28"/>
          <w:lang w:val="uk-UA"/>
        </w:rPr>
      </w:r>
    </w:p>
    <w:p>
      <w:pPr>
        <w:pStyle w:val="Normal"/>
        <w:ind w:hanging="0"/>
        <w:jc w:val="center"/>
        <w:rPr>
          <w:bCs/>
          <w:szCs w:val="24"/>
        </w:rPr>
      </w:pPr>
      <w:r>
        <w:rPr>
          <w:b w:val="false"/>
          <w:bCs/>
          <w:i w:val="false"/>
          <w:szCs w:val="28"/>
          <w:lang w:val="uk-UA"/>
        </w:rPr>
        <w:t>Умови</w:t>
      </w:r>
    </w:p>
    <w:p>
      <w:pPr>
        <w:pStyle w:val="Normal"/>
        <w:ind w:hanging="0"/>
        <w:jc w:val="center"/>
        <w:rPr>
          <w:bCs/>
          <w:szCs w:val="24"/>
        </w:rPr>
      </w:pPr>
      <w:r>
        <w:rPr>
          <w:bCs/>
          <w:szCs w:val="24"/>
        </w:rPr>
        <w:t>проведення добору</w:t>
      </w:r>
    </w:p>
    <w:p>
      <w:pPr>
        <w:pStyle w:val="Normal"/>
        <w:ind w:hanging="0"/>
        <w:jc w:val="center"/>
        <w:rPr>
          <w:bCs/>
          <w:szCs w:val="28"/>
        </w:rPr>
      </w:pPr>
      <w:r>
        <w:rPr>
          <w:bCs/>
          <w:szCs w:val="24"/>
        </w:rPr>
        <w:t xml:space="preserve">на зайняття посади державної служби категорії </w:t>
      </w:r>
      <w:r>
        <w:rPr>
          <w:bCs/>
          <w:szCs w:val="28"/>
        </w:rPr>
        <w:t xml:space="preserve">«В» - </w:t>
      </w:r>
      <w:bookmarkStart w:id="0" w:name="_Hlk234570703"/>
      <w:r>
        <w:rPr>
          <w:color w:val="000000"/>
          <w:szCs w:val="28"/>
        </w:rPr>
        <w:t>головного спеціаліста відділу представництва інтересів в судах та інших органах № 1 юридичного управління (вул. Волоська 36/38)</w:t>
      </w:r>
      <w:bookmarkEnd w:id="0"/>
    </w:p>
    <w:tbl>
      <w:tblPr>
        <w:tblW w:w="9474" w:type="dxa"/>
        <w:jc w:val="left"/>
        <w:tblInd w:w="586" w:type="dxa"/>
        <w:tblLayout w:type="fixed"/>
        <w:tblCellMar>
          <w:top w:w="0" w:type="dxa"/>
          <w:left w:w="108" w:type="dxa"/>
          <w:bottom w:w="0" w:type="dxa"/>
          <w:right w:w="108" w:type="dxa"/>
        </w:tblCellMar>
        <w:tblLook w:firstRow="1" w:noVBand="1" w:lastRow="0" w:firstColumn="1" w:lastColumn="0" w:noHBand="0" w:val="04a0"/>
      </w:tblPr>
      <w:tblGrid>
        <w:gridCol w:w="538"/>
        <w:gridCol w:w="39"/>
        <w:gridCol w:w="2917"/>
        <w:gridCol w:w="35"/>
        <w:gridCol w:w="15"/>
        <w:gridCol w:w="5930"/>
      </w:tblGrid>
      <w:tr>
        <w:trPr/>
        <w:tc>
          <w:tcPr>
            <w:tcW w:w="9474"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ind w:firstLine="181"/>
              <w:jc w:val="center"/>
              <w:rPr>
                <w:bCs/>
                <w:szCs w:val="28"/>
              </w:rPr>
            </w:pPr>
            <w:r>
              <w:rPr>
                <w:bCs/>
                <w:szCs w:val="28"/>
              </w:rPr>
              <w:t>Загальні умови</w:t>
            </w:r>
          </w:p>
        </w:tc>
      </w:tr>
      <w:tr>
        <w:trPr/>
        <w:tc>
          <w:tcPr>
            <w:tcW w:w="3494"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Посадові обов’язки</w:t>
            </w:r>
          </w:p>
        </w:tc>
        <w:tc>
          <w:tcPr>
            <w:tcW w:w="5980" w:type="dxa"/>
            <w:gridSpan w:val="3"/>
            <w:tcBorders>
              <w:top w:val="single" w:sz="4" w:space="0" w:color="000000"/>
              <w:left w:val="single" w:sz="4" w:space="0" w:color="000000"/>
              <w:bottom w:val="single" w:sz="4" w:space="0" w:color="000000"/>
              <w:right w:val="single" w:sz="4" w:space="0" w:color="000000"/>
            </w:tcBorders>
          </w:tcPr>
          <w:p>
            <w:pPr>
              <w:pStyle w:val="ListParagraph"/>
              <w:numPr>
                <w:ilvl w:val="0"/>
                <w:numId w:val="1"/>
              </w:numPr>
              <w:tabs>
                <w:tab w:val="clear" w:pos="720"/>
                <w:tab w:val="left" w:pos="0" w:leader="none"/>
              </w:tabs>
              <w:spacing w:lineRule="auto" w:line="240"/>
              <w:ind w:hanging="0" w:left="0"/>
              <w:rPr>
                <w:color w:val="000000"/>
                <w:lang w:eastAsia="uk-UA"/>
              </w:rPr>
            </w:pPr>
            <w:bookmarkStart w:id="1" w:name="n85"/>
            <w:bookmarkStart w:id="2" w:name="n186"/>
            <w:bookmarkStart w:id="3" w:name="n92"/>
            <w:bookmarkEnd w:id="1"/>
            <w:bookmarkEnd w:id="2"/>
            <w:bookmarkEnd w:id="3"/>
            <w:r>
              <w:rPr>
                <w:color w:val="000000"/>
                <w:lang w:eastAsia="uk-UA"/>
              </w:rPr>
              <w:t>Здійснення представництва інтересів Головного управління в судах, опрацювання та подання до суду позовних заяв з питань стягнення заборгованості по платежах, стягнення заборгованості по переплатах пенсій, розкриття банківської таємниці даних одержувачів пенсії, надміру сплачених страхових, пенсійних коштів; оскарження рішень державного органу з питань повернення помилково сплаченого збору на загальнообов’язкове державне пенсійне страхування з господарських операцій (заяви, клопотання, апеляційні та касаційні скарги, тощо) та опрацювання інших процесуальних документів.</w:t>
            </w:r>
          </w:p>
          <w:p>
            <w:pPr>
              <w:pStyle w:val="ListParagraph"/>
              <w:numPr>
                <w:ilvl w:val="0"/>
                <w:numId w:val="1"/>
              </w:numPr>
              <w:tabs>
                <w:tab w:val="clear" w:pos="720"/>
                <w:tab w:val="left" w:pos="0" w:leader="none"/>
              </w:tabs>
              <w:spacing w:lineRule="auto" w:line="240"/>
              <w:ind w:hanging="0" w:left="0"/>
              <w:rPr>
                <w:color w:val="000000"/>
                <w:lang w:eastAsia="uk-UA"/>
              </w:rPr>
            </w:pPr>
            <w:r>
              <w:rPr>
                <w:color w:val="000000"/>
                <w:lang w:eastAsia="uk-UA"/>
              </w:rPr>
              <w:t>Супровід судових справ в порядку визначеному процесуальним законодавством, в тому числі шляхом забезпечення участі у судових засіданнях. Моніторинг стану розгляду в судах справ за участю Головного управління, в тому числі шляхом використання відомостей з Єдиного державного реєстру судових рішень, відстеження інформації на офіційному вебпорталі "Судова влада України".</w:t>
            </w:r>
          </w:p>
          <w:p>
            <w:pPr>
              <w:pStyle w:val="ListParagraph"/>
              <w:numPr>
                <w:ilvl w:val="0"/>
                <w:numId w:val="1"/>
              </w:numPr>
              <w:tabs>
                <w:tab w:val="clear" w:pos="720"/>
                <w:tab w:val="left" w:pos="0" w:leader="none"/>
              </w:tabs>
              <w:spacing w:lineRule="auto" w:line="240"/>
              <w:ind w:hanging="0" w:left="0"/>
              <w:rPr>
                <w:color w:val="000000"/>
                <w:lang w:eastAsia="uk-UA"/>
              </w:rPr>
            </w:pPr>
            <w:r>
              <w:rPr>
                <w:color w:val="000000"/>
                <w:lang w:eastAsia="uk-UA"/>
              </w:rPr>
              <w:t>Опрацювання кореспонденції, що надходить від судів та інших органів на адресу електронної пошти Головного управління, або через підсистему "Електронний суд". Розгляд за дорученням керівництва звернень підприємств, установ, організацій, громадян запитів на публічну інформацію з питань, віднесених до компетенції органів Пенсійного фонду.</w:t>
            </w:r>
          </w:p>
          <w:p>
            <w:pPr>
              <w:pStyle w:val="ListParagraph"/>
              <w:numPr>
                <w:ilvl w:val="0"/>
                <w:numId w:val="1"/>
              </w:numPr>
              <w:tabs>
                <w:tab w:val="clear" w:pos="720"/>
                <w:tab w:val="left" w:pos="0" w:leader="none"/>
              </w:tabs>
              <w:spacing w:lineRule="auto" w:line="240"/>
              <w:ind w:hanging="0" w:left="0"/>
              <w:rPr>
                <w:color w:val="000000"/>
                <w:lang w:eastAsia="uk-UA"/>
              </w:rPr>
            </w:pPr>
            <w:r>
              <w:rPr>
                <w:color w:val="000000"/>
                <w:lang w:eastAsia="uk-UA"/>
              </w:rPr>
              <w:t>Ведення журналу (реєстру) обліку позовних заяв за участю Головного управління, формування судових справ за участю Головного управління належними матеріалами, укомплектовування їх судовими рішеннями та іншими матеріалами, що стосуються справи.</w:t>
            </w:r>
          </w:p>
          <w:p>
            <w:pPr>
              <w:pStyle w:val="ListParagraph"/>
              <w:numPr>
                <w:ilvl w:val="0"/>
                <w:numId w:val="1"/>
              </w:numPr>
              <w:tabs>
                <w:tab w:val="clear" w:pos="720"/>
                <w:tab w:val="left" w:pos="0" w:leader="none"/>
              </w:tabs>
              <w:spacing w:lineRule="auto" w:line="240"/>
              <w:ind w:hanging="0" w:left="0"/>
              <w:rPr>
                <w:color w:val="000000"/>
                <w:lang w:eastAsia="uk-UA"/>
              </w:rPr>
            </w:pPr>
            <w:r>
              <w:rPr>
                <w:color w:val="000000"/>
                <w:lang w:eastAsia="uk-UA"/>
              </w:rPr>
              <w:t>Внесення даних по судовим справам в систему електронного документообігу «Правова робота» ІКІС ПФУ, а також внесення даних про стан розгляду судами справ за участю Головного управління щодо стану виконання Управлінням рішень судів про стягнення коштів (крім пенсій) та зобов’язання вчинити дії, не пов’язані з пенсійним забезпеченням, до підсистем “Реєстр судових рішень” ІКІС ПФУ</w:t>
            </w:r>
          </w:p>
          <w:p>
            <w:pPr>
              <w:pStyle w:val="ListParagraph"/>
              <w:numPr>
                <w:ilvl w:val="0"/>
                <w:numId w:val="1"/>
              </w:numPr>
              <w:tabs>
                <w:tab w:val="clear" w:pos="720"/>
                <w:tab w:val="left" w:pos="0" w:leader="none"/>
              </w:tabs>
              <w:spacing w:lineRule="auto" w:line="240"/>
              <w:ind w:hanging="0" w:left="0"/>
              <w:rPr>
                <w:color w:val="000000"/>
                <w:lang w:eastAsia="uk-UA"/>
              </w:rPr>
            </w:pPr>
            <w:r>
              <w:rPr>
                <w:color w:val="000000"/>
                <w:lang w:eastAsia="uk-UA"/>
              </w:rPr>
              <w:t>В межах своєї компетенції розгляд листів, звернень, скарг, інших документів, що надходять до юридичного управління та готування проектів відповідей на них.</w:t>
            </w:r>
          </w:p>
          <w:p>
            <w:pPr>
              <w:pStyle w:val="ListParagraph"/>
              <w:numPr>
                <w:ilvl w:val="0"/>
                <w:numId w:val="1"/>
              </w:numPr>
              <w:tabs>
                <w:tab w:val="clear" w:pos="720"/>
                <w:tab w:val="left" w:pos="0" w:leader="none"/>
              </w:tabs>
              <w:spacing w:lineRule="auto" w:line="240"/>
              <w:ind w:hanging="0" w:left="0"/>
              <w:rPr>
                <w:color w:val="000000"/>
                <w:lang w:eastAsia="uk-UA"/>
              </w:rPr>
            </w:pPr>
            <w:r>
              <w:rPr>
                <w:color w:val="000000"/>
                <w:lang w:eastAsia="uk-UA"/>
              </w:rPr>
              <w:t>Ознайомлювання з матеріалами судових справ, кримінальних проваджень та виконавчих проваджень, стороною, в яких є Головне управління, та опрацювання проектів процесуальних документів для оскарження рішень, дій суду, правоохоронних органів та державних виконавців.</w:t>
            </w:r>
          </w:p>
          <w:p>
            <w:pPr>
              <w:pStyle w:val="ListParagraph"/>
              <w:numPr>
                <w:ilvl w:val="0"/>
                <w:numId w:val="1"/>
              </w:numPr>
              <w:tabs>
                <w:tab w:val="clear" w:pos="720"/>
                <w:tab w:val="left" w:pos="0" w:leader="none"/>
              </w:tabs>
              <w:spacing w:lineRule="auto" w:line="240"/>
              <w:ind w:hanging="0" w:left="0"/>
              <w:rPr>
                <w:color w:val="000000"/>
                <w:lang w:eastAsia="uk-UA"/>
              </w:rPr>
            </w:pPr>
            <w:r>
              <w:rPr>
                <w:color w:val="000000"/>
                <w:lang w:eastAsia="uk-UA"/>
              </w:rPr>
              <w:t>Здійснення підготовки інформації для передачі у відповідні структурні підрозділи для зведення звітних даних за встановленими формами, готування пропозиції щодо їх удосконалення.</w:t>
            </w:r>
          </w:p>
          <w:p>
            <w:pPr>
              <w:pStyle w:val="ListParagraph"/>
              <w:numPr>
                <w:ilvl w:val="0"/>
                <w:numId w:val="1"/>
              </w:numPr>
              <w:tabs>
                <w:tab w:val="clear" w:pos="720"/>
                <w:tab w:val="left" w:pos="0" w:leader="none"/>
              </w:tabs>
              <w:spacing w:lineRule="auto" w:line="240"/>
              <w:ind w:hanging="0" w:left="0"/>
              <w:rPr>
                <w:color w:val="000000"/>
                <w:lang w:eastAsia="uk-UA"/>
              </w:rPr>
            </w:pPr>
            <w:r>
              <w:rPr>
                <w:color w:val="000000"/>
                <w:lang w:eastAsia="uk-UA"/>
              </w:rPr>
              <w:t>Виконання оперативних доручень та інших завдань начальника (заступника начальника) юридичного управління, начальника та заступника начальника відділу.</w:t>
            </w:r>
          </w:p>
          <w:p>
            <w:pPr>
              <w:pStyle w:val="ListParagraph"/>
              <w:numPr>
                <w:ilvl w:val="0"/>
                <w:numId w:val="1"/>
              </w:numPr>
              <w:tabs>
                <w:tab w:val="clear" w:pos="720"/>
                <w:tab w:val="left" w:pos="0" w:leader="none"/>
              </w:tabs>
              <w:spacing w:lineRule="auto" w:line="240"/>
              <w:ind w:hanging="0" w:left="0"/>
              <w:rPr>
                <w:color w:val="000000"/>
                <w:szCs w:val="28"/>
                <w:lang w:eastAsia="uk-UA"/>
              </w:rPr>
            </w:pPr>
            <w:r>
              <w:rPr>
                <w:color w:val="000000"/>
                <w:lang w:eastAsia="uk-UA"/>
              </w:rPr>
              <w:t>В порядку, визначеному начальником (заступником начальника) юридичного управління, начальником відділу та заступником начальника відділу заміщення інших працівників відділу у разі їх відсутності.</w:t>
            </w:r>
          </w:p>
        </w:tc>
      </w:tr>
      <w:tr>
        <w:trPr/>
        <w:tc>
          <w:tcPr>
            <w:tcW w:w="3494"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Умови оплати праці</w:t>
            </w:r>
          </w:p>
        </w:tc>
        <w:tc>
          <w:tcPr>
            <w:tcW w:w="5980"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hanging="0"/>
              <w:rPr>
                <w:bCs/>
                <w:szCs w:val="28"/>
              </w:rPr>
            </w:pPr>
            <w:r>
              <w:rPr>
                <w:bCs/>
                <w:szCs w:val="28"/>
              </w:rPr>
              <w:t xml:space="preserve">Посадовий оклад - </w:t>
            </w:r>
            <w:r>
              <w:rPr>
                <w:color w:val="000000"/>
                <w:szCs w:val="28"/>
              </w:rPr>
              <w:t>20795</w:t>
            </w:r>
            <w:r>
              <w:rPr>
                <w:bCs/>
                <w:szCs w:val="28"/>
              </w:rPr>
              <w:t xml:space="preserve"> грн. </w:t>
            </w:r>
            <w:r>
              <w:rPr>
                <w:rStyle w:val="csd2c743de"/>
                <w:color w:val="000000"/>
                <w:szCs w:val="28"/>
              </w:rPr>
              <w:t xml:space="preserve">згідно із класифікацією посад; </w:t>
            </w:r>
            <w:r>
              <w:rPr>
                <w:bCs/>
                <w:szCs w:val="28"/>
              </w:rPr>
              <w:t>доплати, компенсації відповідно до статті 52 Закону України «Про державну службу»; надбавка за вислугу років, премія та грошова допомога відповідно до прикінцевих положень Закону України «Про державний Бюджет України на 2026 рік;</w:t>
            </w:r>
          </w:p>
          <w:p>
            <w:pPr>
              <w:pStyle w:val="Normal"/>
              <w:spacing w:lineRule="auto" w:line="240"/>
              <w:ind w:hanging="0"/>
              <w:rPr/>
            </w:pPr>
            <w:r>
              <w:rPr>
                <w:bCs/>
                <w:szCs w:val="28"/>
              </w:rPr>
              <w:t>надбавка до посадового окладу за ранг державного службовця відповідно до постанови Кабінету Міністрів України від 18 січня 2017 року № 15 «Питання оплати праці працівників державних органів» (із змінами).</w:t>
            </w:r>
          </w:p>
          <w:p>
            <w:pPr>
              <w:pStyle w:val="Normal"/>
              <w:spacing w:lineRule="auto" w:line="240"/>
              <w:ind w:hanging="0"/>
              <w:rPr>
                <w:bCs/>
                <w:szCs w:val="28"/>
              </w:rPr>
            </w:pPr>
            <w:r>
              <w:rPr>
                <w:bCs/>
                <w:szCs w:val="28"/>
              </w:rPr>
            </w:r>
          </w:p>
        </w:tc>
      </w:tr>
      <w:tr>
        <w:trPr>
          <w:trHeight w:val="240" w:hRule="atLeast"/>
        </w:trPr>
        <w:tc>
          <w:tcPr>
            <w:tcW w:w="3494"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Інформація про строковість</w:t>
            </w:r>
          </w:p>
          <w:p>
            <w:pPr>
              <w:pStyle w:val="Default"/>
              <w:rPr>
                <w:bCs/>
                <w:color w:val="auto"/>
                <w:sz w:val="28"/>
                <w:szCs w:val="28"/>
                <w:lang w:eastAsia="ru-RU"/>
              </w:rPr>
            </w:pPr>
            <w:r>
              <w:rPr>
                <w:bCs/>
                <w:color w:val="auto"/>
                <w:sz w:val="28"/>
                <w:szCs w:val="28"/>
                <w:lang w:eastAsia="ru-RU"/>
              </w:rPr>
              <w:t>чи безстроковість</w:t>
            </w:r>
          </w:p>
          <w:p>
            <w:pPr>
              <w:pStyle w:val="Default"/>
              <w:rPr>
                <w:bCs/>
                <w:color w:val="auto"/>
                <w:sz w:val="28"/>
                <w:szCs w:val="28"/>
                <w:lang w:eastAsia="ru-RU"/>
              </w:rPr>
            </w:pPr>
            <w:r>
              <w:rPr>
                <w:bCs/>
                <w:color w:val="auto"/>
                <w:sz w:val="28"/>
                <w:szCs w:val="28"/>
                <w:lang w:eastAsia="ru-RU"/>
              </w:rPr>
              <w:t>призначення на посаду</w:t>
            </w:r>
          </w:p>
        </w:tc>
        <w:tc>
          <w:tcPr>
            <w:tcW w:w="598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77" w:leader="none"/>
              </w:tabs>
              <w:spacing w:lineRule="auto" w:line="240"/>
              <w:ind w:hanging="0" w:right="100"/>
              <w:rPr>
                <w:bCs/>
                <w:sz w:val="4"/>
                <w:szCs w:val="28"/>
              </w:rPr>
            </w:pPr>
            <w:r>
              <w:rPr>
                <w:rStyle w:val="csd2c743de"/>
                <w:bCs/>
                <w:color w:val="000000"/>
                <w:sz w:val="27"/>
                <w:szCs w:val="27"/>
              </w:rPr>
              <w:t>Строково, відповідно до Закону України «Про внесення змін до деяких законів України щодо функціонування державної служби та місцевого самоврядування у період дії воєнного стану» від 12 травня 2022 № 2259-ІХ, внесено зміни до Закону України «Про правовий режим воєнного стану».</w:t>
            </w:r>
          </w:p>
        </w:tc>
      </w:tr>
      <w:tr>
        <w:trPr/>
        <w:tc>
          <w:tcPr>
            <w:tcW w:w="9474" w:type="dxa"/>
            <w:gridSpan w:val="6"/>
            <w:tcBorders>
              <w:top w:val="single" w:sz="4" w:space="0" w:color="000000"/>
              <w:left w:val="single" w:sz="4" w:space="0" w:color="000000"/>
              <w:bottom w:val="single" w:sz="4" w:space="0" w:color="000000"/>
              <w:right w:val="single" w:sz="4" w:space="0" w:color="000000"/>
            </w:tcBorders>
          </w:tcPr>
          <w:p>
            <w:pPr>
              <w:pStyle w:val="Default"/>
              <w:jc w:val="center"/>
              <w:rPr>
                <w:b/>
                <w:bCs/>
                <w:color w:val="auto"/>
                <w:sz w:val="28"/>
                <w:szCs w:val="28"/>
                <w:lang w:eastAsia="ru-RU"/>
              </w:rPr>
            </w:pPr>
            <w:r>
              <w:rPr>
                <w:b/>
                <w:bCs/>
                <w:color w:val="auto"/>
                <w:sz w:val="28"/>
                <w:szCs w:val="28"/>
                <w:lang w:eastAsia="ru-RU"/>
              </w:rPr>
              <w:t>Кваліфікаційні вимоги</w:t>
            </w:r>
          </w:p>
          <w:p>
            <w:pPr>
              <w:pStyle w:val="Default"/>
              <w:jc w:val="center"/>
              <w:rPr>
                <w:b/>
                <w:bCs/>
                <w:color w:val="auto"/>
                <w:sz w:val="28"/>
                <w:szCs w:val="28"/>
                <w:lang w:eastAsia="ru-RU"/>
              </w:rPr>
            </w:pPr>
            <w:r>
              <w:rPr>
                <w:b/>
                <w:bCs/>
                <w:color w:val="auto"/>
                <w:sz w:val="28"/>
                <w:szCs w:val="28"/>
                <w:lang w:eastAsia="ru-RU"/>
              </w:rPr>
            </w:r>
          </w:p>
          <w:p>
            <w:pPr>
              <w:pStyle w:val="Normal"/>
              <w:spacing w:lineRule="auto" w:line="240"/>
              <w:ind w:hanging="0" w:right="101"/>
              <w:rPr>
                <w:b/>
              </w:rPr>
            </w:pPr>
            <w:r>
              <w:rPr>
                <w:b/>
              </w:rPr>
              <w:t>Обов’язковою</w:t>
            </w:r>
            <w:r>
              <w:rPr>
                <w:b/>
                <w:spacing w:val="80"/>
              </w:rPr>
              <w:t xml:space="preserve"> </w:t>
            </w:r>
            <w:r>
              <w:rPr>
                <w:b/>
              </w:rPr>
              <w:t>вимогою</w:t>
            </w:r>
            <w:r>
              <w:rPr>
                <w:b/>
                <w:spacing w:val="80"/>
              </w:rPr>
              <w:t xml:space="preserve"> </w:t>
            </w:r>
            <w:r>
              <w:rPr>
                <w:b/>
              </w:rPr>
              <w:t>до</w:t>
            </w:r>
            <w:r>
              <w:rPr>
                <w:b/>
                <w:spacing w:val="80"/>
              </w:rPr>
              <w:t xml:space="preserve"> </w:t>
            </w:r>
            <w:r>
              <w:rPr>
                <w:b/>
              </w:rPr>
              <w:t>осіб,</w:t>
            </w:r>
            <w:r>
              <w:rPr>
                <w:b/>
                <w:spacing w:val="80"/>
              </w:rPr>
              <w:t xml:space="preserve"> </w:t>
            </w:r>
            <w:r>
              <w:rPr>
                <w:b/>
              </w:rPr>
              <w:t>які</w:t>
            </w:r>
            <w:r>
              <w:rPr>
                <w:b/>
                <w:spacing w:val="80"/>
              </w:rPr>
              <w:t xml:space="preserve"> </w:t>
            </w:r>
            <w:r>
              <w:rPr>
                <w:b/>
              </w:rPr>
              <w:t>претендують</w:t>
            </w:r>
            <w:r>
              <w:rPr>
                <w:b/>
                <w:spacing w:val="80"/>
              </w:rPr>
              <w:t xml:space="preserve"> </w:t>
            </w:r>
            <w:r>
              <w:rPr>
                <w:b/>
              </w:rPr>
              <w:t>на</w:t>
            </w:r>
            <w:r>
              <w:rPr>
                <w:b/>
                <w:spacing w:val="80"/>
              </w:rPr>
              <w:t xml:space="preserve"> </w:t>
            </w:r>
            <w:r>
              <w:rPr>
                <w:b/>
              </w:rPr>
              <w:t>посаду,</w:t>
            </w:r>
            <w:r>
              <w:rPr>
                <w:b/>
                <w:spacing w:val="80"/>
              </w:rPr>
              <w:t xml:space="preserve"> </w:t>
            </w:r>
            <w:r>
              <w:rPr>
                <w:b/>
              </w:rPr>
              <w:t>є наявність</w:t>
            </w:r>
            <w:r>
              <w:rPr>
                <w:b/>
                <w:spacing w:val="-1"/>
              </w:rPr>
              <w:t xml:space="preserve"> </w:t>
            </w:r>
            <w:r>
              <w:rPr>
                <w:b/>
              </w:rPr>
              <w:t xml:space="preserve">громадянства України та відсутність громадянства інших </w:t>
            </w:r>
            <w:r>
              <w:rPr>
                <w:b/>
                <w:spacing w:val="-2"/>
              </w:rPr>
              <w:t>держав.</w:t>
            </w:r>
          </w:p>
          <w:p>
            <w:pPr>
              <w:pStyle w:val="Default"/>
              <w:jc w:val="center"/>
              <w:rPr>
                <w:b/>
                <w:bCs/>
                <w:color w:val="auto"/>
                <w:sz w:val="28"/>
                <w:szCs w:val="28"/>
                <w:lang w:eastAsia="ru-RU"/>
              </w:rPr>
            </w:pPr>
            <w:r>
              <w:rPr>
                <w:b/>
                <w:bCs/>
                <w:color w:val="auto"/>
                <w:sz w:val="28"/>
                <w:szCs w:val="28"/>
                <w:lang w:eastAsia="ru-RU"/>
              </w:rPr>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Освіта</w:t>
            </w:r>
          </w:p>
        </w:tc>
        <w:tc>
          <w:tcPr>
            <w:tcW w:w="593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hanging="0"/>
              <w:rPr>
                <w:bCs/>
                <w:szCs w:val="28"/>
              </w:rPr>
            </w:pPr>
            <w:r>
              <w:rPr>
                <w:color w:val="000000"/>
                <w:szCs w:val="28"/>
              </w:rPr>
              <w:t>вища освіта за освітнім ступенем не нижче  молодшого бакалавра, бакалавра у галузі знань «Право»</w:t>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Досвід роботи</w:t>
            </w:r>
          </w:p>
        </w:tc>
        <w:tc>
          <w:tcPr>
            <w:tcW w:w="5930"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left="28"/>
              <w:rPr>
                <w:bCs/>
                <w:szCs w:val="28"/>
              </w:rPr>
            </w:pPr>
            <w:r>
              <w:rPr>
                <w:szCs w:val="28"/>
                <w:shd w:fill="FFFFFF" w:val="clear"/>
              </w:rPr>
              <w:t>не потребує</w:t>
            </w:r>
          </w:p>
        </w:tc>
      </w:tr>
      <w:tr>
        <w:trPr>
          <w:trHeight w:val="495"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3.</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Володіння державною мовою</w:t>
            </w:r>
          </w:p>
        </w:tc>
        <w:tc>
          <w:tcPr>
            <w:tcW w:w="5930"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bCs/>
                <w:szCs w:val="28"/>
              </w:rPr>
            </w:pPr>
            <w:r>
              <w:rPr>
                <w:szCs w:val="28"/>
              </w:rPr>
              <w:t>вільне володіння державною мовою</w:t>
            </w:r>
          </w:p>
        </w:tc>
      </w:tr>
      <w:tr>
        <w:trPr>
          <w:trHeight w:val="450" w:hRule="atLeast"/>
        </w:trPr>
        <w:tc>
          <w:tcPr>
            <w:tcW w:w="9474"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Вимоги до компетентності</w:t>
            </w:r>
          </w:p>
        </w:tc>
      </w:tr>
      <w:tr>
        <w:trPr>
          <w:trHeight w:val="437" w:hRule="atLeast"/>
        </w:trPr>
        <w:tc>
          <w:tcPr>
            <w:tcW w:w="3529"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Вимога</w:t>
            </w:r>
          </w:p>
        </w:tc>
        <w:tc>
          <w:tcPr>
            <w:tcW w:w="5945"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Компоненти вимоги</w:t>
            </w:r>
          </w:p>
        </w:tc>
      </w:tr>
      <w:tr>
        <w:trPr>
          <w:trHeight w:val="311" w:hRule="atLeast"/>
        </w:trPr>
        <w:tc>
          <w:tcPr>
            <w:tcW w:w="57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1.</w:t>
            </w:r>
          </w:p>
        </w:tc>
        <w:tc>
          <w:tcPr>
            <w:tcW w:w="2952" w:type="dxa"/>
            <w:gridSpan w:val="2"/>
            <w:tcBorders>
              <w:top w:val="single" w:sz="4" w:space="0" w:color="000000"/>
              <w:left w:val="single" w:sz="4" w:space="0" w:color="000000"/>
              <w:bottom w:val="single" w:sz="4" w:space="0" w:color="000000"/>
              <w:right w:val="single" w:sz="4" w:space="0" w:color="000000"/>
            </w:tcBorders>
          </w:tcPr>
          <w:p>
            <w:pPr>
              <w:pStyle w:val="Normal"/>
              <w:ind w:hanging="0"/>
              <w:jc w:val="left"/>
              <w:rPr>
                <w:szCs w:val="28"/>
              </w:rPr>
            </w:pPr>
            <w:r>
              <w:rPr>
                <w:color w:val="000000"/>
                <w:szCs w:val="28"/>
              </w:rPr>
              <w:t>Якісне виконання поставлених завдань</w:t>
            </w:r>
          </w:p>
        </w:tc>
        <w:tc>
          <w:tcPr>
            <w:tcW w:w="594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398" w:leader="none"/>
              </w:tabs>
              <w:spacing w:lineRule="auto" w:line="240"/>
              <w:ind w:hanging="0" w:right="272"/>
              <w:jc w:val="left"/>
              <w:rPr>
                <w:color w:val="000000"/>
                <w:szCs w:val="28"/>
              </w:rPr>
            </w:pPr>
            <w:r>
              <w:rPr>
                <w:szCs w:val="28"/>
              </w:rPr>
              <w:t xml:space="preserve">- </w:t>
            </w:r>
            <w:r>
              <w:rPr>
                <w:color w:val="000000"/>
                <w:szCs w:val="28"/>
              </w:rPr>
              <w:t>чітке і точне формулювання мети, цілей і завдань службової діяльності;</w:t>
            </w:r>
          </w:p>
          <w:p>
            <w:pPr>
              <w:pStyle w:val="Normal"/>
              <w:widowControl w:val="false"/>
              <w:tabs>
                <w:tab w:val="clear" w:pos="720"/>
                <w:tab w:val="left" w:pos="398" w:leader="none"/>
              </w:tabs>
              <w:spacing w:lineRule="auto" w:line="240"/>
              <w:ind w:hanging="0" w:right="272"/>
              <w:jc w:val="left"/>
              <w:rPr>
                <w:color w:val="000000"/>
                <w:szCs w:val="28"/>
              </w:rPr>
            </w:pPr>
            <w:r>
              <w:rPr>
                <w:color w:val="000000"/>
                <w:szCs w:val="28"/>
              </w:rPr>
              <w:t>- комплексний підхід до виконання завдань, виявлення ризиків;</w:t>
            </w:r>
          </w:p>
          <w:p>
            <w:pPr>
              <w:pStyle w:val="ListParagraph"/>
              <w:spacing w:lineRule="auto" w:line="240"/>
              <w:ind w:hanging="142" w:left="20"/>
              <w:jc w:val="left"/>
              <w:rPr>
                <w:szCs w:val="28"/>
              </w:rPr>
            </w:pPr>
            <w:r>
              <w:rPr>
                <w:color w:val="000000"/>
                <w:szCs w:val="28"/>
              </w:rPr>
              <w:t xml:space="preserve"> </w:t>
            </w:r>
            <w:r>
              <w:rPr>
                <w:color w:val="000000"/>
                <w:szCs w:val="28"/>
              </w:rPr>
              <w:t>- розуміння змісту завдання і його кінцевих результатів, самостійне визначення можливих шляхів досягнення</w:t>
            </w:r>
          </w:p>
        </w:tc>
      </w:tr>
      <w:tr>
        <w:trPr>
          <w:trHeight w:val="540" w:hRule="atLeast"/>
        </w:trPr>
        <w:tc>
          <w:tcPr>
            <w:tcW w:w="57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2.</w:t>
            </w:r>
          </w:p>
        </w:tc>
        <w:tc>
          <w:tcPr>
            <w:tcW w:w="2952" w:type="dxa"/>
            <w:gridSpan w:val="2"/>
            <w:tcBorders>
              <w:top w:val="single" w:sz="4" w:space="0" w:color="000000"/>
              <w:left w:val="single" w:sz="4" w:space="0" w:color="000000"/>
              <w:bottom w:val="single" w:sz="4" w:space="0" w:color="000000"/>
              <w:right w:val="single" w:sz="4" w:space="0" w:color="000000"/>
            </w:tcBorders>
          </w:tcPr>
          <w:p>
            <w:pPr>
              <w:pStyle w:val="Normal"/>
              <w:ind w:hanging="0"/>
              <w:rPr>
                <w:szCs w:val="28"/>
              </w:rPr>
            </w:pPr>
            <w:r>
              <w:rPr>
                <w:color w:val="000000"/>
                <w:szCs w:val="28"/>
              </w:rPr>
              <w:t>Відповідальність, командна робота та взаємодія</w:t>
            </w:r>
          </w:p>
        </w:tc>
        <w:tc>
          <w:tcPr>
            <w:tcW w:w="594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
              </w:numPr>
              <w:tabs>
                <w:tab w:val="clear" w:pos="720"/>
                <w:tab w:val="left" w:pos="190" w:leader="none"/>
              </w:tabs>
              <w:spacing w:lineRule="auto" w:line="240"/>
              <w:ind w:hanging="0" w:left="0"/>
              <w:rPr>
                <w:color w:val="000000"/>
                <w:szCs w:val="28"/>
              </w:rPr>
            </w:pPr>
            <w:r>
              <w:rPr>
                <w:color w:val="000000"/>
                <w:szCs w:val="28"/>
              </w:rPr>
              <w:t>усвідомлення важливості якісного виконання своїх посадових обов'язків з дотриманням строків та встановлених процедур;</w:t>
            </w:r>
          </w:p>
          <w:p>
            <w:pPr>
              <w:pStyle w:val="Normal"/>
              <w:widowControl w:val="false"/>
              <w:numPr>
                <w:ilvl w:val="0"/>
                <w:numId w:val="2"/>
              </w:numPr>
              <w:tabs>
                <w:tab w:val="clear" w:pos="720"/>
                <w:tab w:val="left" w:pos="190" w:leader="none"/>
              </w:tabs>
              <w:spacing w:lineRule="auto" w:line="240"/>
              <w:ind w:hanging="0" w:left="0"/>
              <w:rPr>
                <w:color w:val="000000"/>
                <w:szCs w:val="28"/>
              </w:rPr>
            </w:pPr>
            <w:r>
              <w:rPr>
                <w:color w:val="000000"/>
                <w:szCs w:val="28"/>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pPr>
              <w:pStyle w:val="Normal"/>
              <w:widowControl w:val="false"/>
              <w:numPr>
                <w:ilvl w:val="0"/>
                <w:numId w:val="2"/>
              </w:numPr>
              <w:tabs>
                <w:tab w:val="clear" w:pos="720"/>
                <w:tab w:val="left" w:pos="190" w:leader="none"/>
              </w:tabs>
              <w:spacing w:lineRule="auto" w:line="240"/>
              <w:ind w:hanging="0" w:left="0"/>
              <w:rPr>
                <w:color w:val="000000"/>
                <w:szCs w:val="28"/>
              </w:rPr>
            </w:pPr>
            <w:r>
              <w:rPr>
                <w:color w:val="000000"/>
                <w:szCs w:val="28"/>
              </w:rPr>
              <w:t>здатність брати на себе зобов’язання, чітко їх дотримуватись і виконувати;</w:t>
            </w:r>
          </w:p>
          <w:p>
            <w:pPr>
              <w:pStyle w:val="Normal"/>
              <w:widowControl w:val="false"/>
              <w:tabs>
                <w:tab w:val="clear" w:pos="720"/>
                <w:tab w:val="left" w:pos="363" w:leader="none"/>
              </w:tabs>
              <w:spacing w:lineRule="auto" w:line="240"/>
              <w:ind w:hanging="0" w:right="272"/>
              <w:rPr>
                <w:color w:val="000000"/>
                <w:szCs w:val="28"/>
              </w:rPr>
            </w:pPr>
            <w:r>
              <w:rPr/>
              <w:t xml:space="preserve">вміння працювати в </w:t>
            </w:r>
            <w:r>
              <w:rPr>
                <w:color w:val="000000"/>
                <w:szCs w:val="28"/>
              </w:rPr>
              <w:t>команді та командної взаємодії.</w:t>
            </w:r>
          </w:p>
        </w:tc>
      </w:tr>
      <w:tr>
        <w:trPr>
          <w:trHeight w:val="1204" w:hRule="atLeast"/>
        </w:trPr>
        <w:tc>
          <w:tcPr>
            <w:tcW w:w="57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3.</w:t>
            </w:r>
          </w:p>
        </w:tc>
        <w:tc>
          <w:tcPr>
            <w:tcW w:w="2952" w:type="dxa"/>
            <w:gridSpan w:val="2"/>
            <w:tcBorders>
              <w:top w:val="single" w:sz="4" w:space="0" w:color="000000"/>
              <w:left w:val="single" w:sz="4" w:space="0" w:color="000000"/>
              <w:bottom w:val="single" w:sz="4" w:space="0" w:color="000000"/>
              <w:right w:val="single" w:sz="4" w:space="0" w:color="000000"/>
            </w:tcBorders>
          </w:tcPr>
          <w:p>
            <w:pPr>
              <w:pStyle w:val="Normal"/>
              <w:ind w:hanging="0"/>
              <w:rPr>
                <w:szCs w:val="28"/>
              </w:rPr>
            </w:pPr>
            <w:r>
              <w:rPr>
                <w:color w:val="000000"/>
                <w:szCs w:val="28"/>
              </w:rPr>
              <w:t>Аналітичні здібності та обґрунтування власної позиції</w:t>
            </w:r>
          </w:p>
        </w:tc>
        <w:tc>
          <w:tcPr>
            <w:tcW w:w="594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
              </w:numPr>
              <w:tabs>
                <w:tab w:val="clear" w:pos="720"/>
                <w:tab w:val="left" w:pos="190" w:leader="none"/>
              </w:tabs>
              <w:spacing w:lineRule="auto" w:line="240"/>
              <w:ind w:hanging="0" w:left="0"/>
              <w:rPr>
                <w:color w:val="000000"/>
                <w:szCs w:val="28"/>
              </w:rPr>
            </w:pPr>
            <w:r>
              <w:rPr>
                <w:color w:val="000000"/>
                <w:szCs w:val="28"/>
              </w:rPr>
              <w:t>здатність до логічного мислення, узагальнення, конкретизації, розкладання складних питань на складові, виділяти головне від другорядного, виявляти закономірності;</w:t>
            </w:r>
          </w:p>
          <w:p>
            <w:pPr>
              <w:pStyle w:val="Normal"/>
              <w:widowControl w:val="false"/>
              <w:numPr>
                <w:ilvl w:val="0"/>
                <w:numId w:val="2"/>
              </w:numPr>
              <w:tabs>
                <w:tab w:val="clear" w:pos="720"/>
                <w:tab w:val="left" w:pos="190" w:leader="none"/>
              </w:tabs>
              <w:spacing w:lineRule="auto" w:line="240"/>
              <w:ind w:hanging="0" w:left="0"/>
              <w:rPr>
                <w:color w:val="000000"/>
                <w:szCs w:val="28"/>
              </w:rPr>
            </w:pPr>
            <w:r>
              <w:rPr>
                <w:color w:val="000000"/>
                <w:szCs w:val="28"/>
              </w:rPr>
              <w:t>вміння встановлювати причинно-наслідкові зв’язки;</w:t>
            </w:r>
          </w:p>
          <w:p>
            <w:pPr>
              <w:pStyle w:val="Normal"/>
              <w:widowControl w:val="false"/>
              <w:tabs>
                <w:tab w:val="clear" w:pos="720"/>
                <w:tab w:val="left" w:pos="271" w:leader="none"/>
              </w:tabs>
              <w:spacing w:lineRule="auto" w:line="240"/>
              <w:ind w:hanging="0" w:right="272"/>
              <w:rPr>
                <w:color w:val="000000"/>
                <w:szCs w:val="28"/>
              </w:rPr>
            </w:pPr>
            <w:r>
              <w:rPr>
                <w:color w:val="000000"/>
                <w:szCs w:val="28"/>
              </w:rPr>
              <w:t>- вміння аналізувати інформацію та робити висновки, критично оцінювати ситуації, прогнозувати та робити власні умовиводи</w:t>
            </w:r>
            <w:r>
              <w:rPr>
                <w:bCs/>
                <w:color w:val="000000"/>
                <w:szCs w:val="28"/>
              </w:rPr>
              <w:t>.</w:t>
            </w:r>
          </w:p>
        </w:tc>
      </w:tr>
      <w:tr>
        <w:trPr>
          <w:trHeight w:val="756" w:hRule="atLeast"/>
        </w:trPr>
        <w:tc>
          <w:tcPr>
            <w:tcW w:w="9474"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r>
          </w:p>
          <w:p>
            <w:pPr>
              <w:pStyle w:val="Normal"/>
              <w:spacing w:lineRule="auto" w:line="240"/>
              <w:jc w:val="center"/>
              <w:rPr>
                <w:b/>
                <w:szCs w:val="28"/>
              </w:rPr>
            </w:pPr>
            <w:r>
              <w:rPr>
                <w:b/>
                <w:szCs w:val="28"/>
              </w:rPr>
              <w:t>Професійні знання</w:t>
            </w:r>
          </w:p>
        </w:tc>
      </w:tr>
      <w:tr>
        <w:trPr>
          <w:trHeight w:val="255" w:hRule="atLeast"/>
        </w:trPr>
        <w:tc>
          <w:tcPr>
            <w:tcW w:w="3544" w:type="dxa"/>
            <w:gridSpan w:val="5"/>
            <w:tcBorders>
              <w:top w:val="single" w:sz="4" w:space="0" w:color="000000"/>
              <w:left w:val="single" w:sz="4" w:space="0" w:color="000000"/>
              <w:bottom w:val="single" w:sz="4" w:space="0" w:color="000000"/>
              <w:right w:val="single" w:sz="4" w:space="0" w:color="000000"/>
            </w:tcBorders>
          </w:tcPr>
          <w:p>
            <w:pPr>
              <w:pStyle w:val="Default"/>
              <w:jc w:val="center"/>
              <w:rPr/>
            </w:pPr>
            <w:r>
              <w:rPr>
                <w:b/>
                <w:bCs/>
                <w:color w:val="auto"/>
                <w:sz w:val="28"/>
                <w:szCs w:val="28"/>
                <w:lang w:eastAsia="ru-RU"/>
              </w:rPr>
              <w:t>Вимоги</w:t>
            </w:r>
          </w:p>
        </w:tc>
        <w:tc>
          <w:tcPr>
            <w:tcW w:w="5930" w:type="dxa"/>
            <w:tcBorders>
              <w:top w:val="single" w:sz="4" w:space="0" w:color="000000"/>
              <w:left w:val="single" w:sz="4" w:space="0" w:color="000000"/>
              <w:bottom w:val="single" w:sz="4" w:space="0" w:color="000000"/>
              <w:right w:val="single" w:sz="4" w:space="0" w:color="000000"/>
            </w:tcBorders>
          </w:tcPr>
          <w:p>
            <w:pPr>
              <w:pStyle w:val="Normal"/>
              <w:spacing w:lineRule="auto" w:line="240"/>
              <w:rPr>
                <w:b/>
                <w:szCs w:val="28"/>
              </w:rPr>
            </w:pPr>
            <w:r>
              <w:rPr>
                <w:b/>
                <w:szCs w:val="28"/>
              </w:rPr>
              <w:t>Компоненти вимоги</w:t>
            </w:r>
          </w:p>
        </w:tc>
      </w:tr>
      <w:tr>
        <w:trPr>
          <w:trHeight w:val="98"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w:t>
            </w:r>
          </w:p>
        </w:tc>
        <w:tc>
          <w:tcPr>
            <w:tcW w:w="5930" w:type="dxa"/>
            <w:tcBorders>
              <w:top w:val="single" w:sz="4" w:space="0" w:color="000000"/>
              <w:left w:val="single" w:sz="4" w:space="0" w:color="000000"/>
              <w:bottom w:val="single" w:sz="4" w:space="0" w:color="000000"/>
              <w:right w:val="single" w:sz="4" w:space="0" w:color="000000"/>
            </w:tcBorders>
          </w:tcPr>
          <w:p>
            <w:pPr>
              <w:pStyle w:val="cs66e64e55"/>
              <w:spacing w:beforeAutospacing="0" w:before="0" w:afterAutospacing="0" w:after="0"/>
              <w:jc w:val="both"/>
              <w:rPr>
                <w:color w:val="000000"/>
                <w:sz w:val="28"/>
                <w:szCs w:val="28"/>
              </w:rPr>
            </w:pPr>
            <w:r>
              <w:rPr>
                <w:rStyle w:val="csd2c743de"/>
                <w:color w:val="000000"/>
                <w:sz w:val="28"/>
                <w:szCs w:val="28"/>
              </w:rPr>
              <w:t>Знання:</w:t>
            </w:r>
          </w:p>
          <w:p>
            <w:pPr>
              <w:pStyle w:val="cs66e64e55"/>
              <w:spacing w:beforeAutospacing="0" w:before="0" w:afterAutospacing="0" w:after="0"/>
              <w:jc w:val="both"/>
              <w:rPr>
                <w:color w:val="000000"/>
                <w:sz w:val="28"/>
                <w:szCs w:val="28"/>
              </w:rPr>
            </w:pPr>
            <w:r>
              <w:rPr>
                <w:rStyle w:val="csd2c743de"/>
                <w:color w:val="000000"/>
                <w:sz w:val="28"/>
                <w:szCs w:val="28"/>
              </w:rPr>
              <w:t>- Конституції України;</w:t>
            </w:r>
          </w:p>
          <w:p>
            <w:pPr>
              <w:pStyle w:val="cs66e64e55"/>
              <w:spacing w:beforeAutospacing="0" w:before="0" w:afterAutospacing="0" w:after="0"/>
              <w:jc w:val="both"/>
              <w:rPr>
                <w:color w:val="000000"/>
                <w:sz w:val="28"/>
                <w:szCs w:val="28"/>
              </w:rPr>
            </w:pPr>
            <w:r>
              <w:rPr>
                <w:rStyle w:val="csd2c743de"/>
                <w:color w:val="000000"/>
                <w:sz w:val="28"/>
                <w:szCs w:val="28"/>
              </w:rPr>
              <w:t>- Закону України «Про запобігання корупції»;</w:t>
            </w:r>
          </w:p>
          <w:p>
            <w:pPr>
              <w:pStyle w:val="cs66e64e55"/>
              <w:spacing w:beforeAutospacing="0" w:before="0" w:afterAutospacing="0" w:after="0"/>
              <w:jc w:val="both"/>
              <w:rPr>
                <w:color w:val="000000"/>
                <w:sz w:val="28"/>
                <w:szCs w:val="28"/>
              </w:rPr>
            </w:pPr>
            <w:r>
              <w:rPr>
                <w:rStyle w:val="csd2c743de"/>
                <w:color w:val="000000"/>
                <w:sz w:val="28"/>
                <w:szCs w:val="28"/>
              </w:rPr>
              <w:t> </w:t>
            </w:r>
            <w:r>
              <w:rPr>
                <w:rStyle w:val="csd2c743de"/>
                <w:color w:val="000000"/>
                <w:sz w:val="28"/>
                <w:szCs w:val="28"/>
              </w:rPr>
              <w:t>- Закону України «Про державну службу»;</w:t>
            </w:r>
          </w:p>
          <w:p>
            <w:pPr>
              <w:pStyle w:val="cs66e64e55"/>
              <w:spacing w:beforeAutospacing="0" w:before="0" w:afterAutospacing="0" w:after="0"/>
              <w:jc w:val="both"/>
              <w:rPr>
                <w:color w:val="000000"/>
                <w:sz w:val="28"/>
                <w:szCs w:val="28"/>
              </w:rPr>
            </w:pPr>
            <w:r>
              <w:rPr>
                <w:rStyle w:val="csd2c743de"/>
                <w:color w:val="000000"/>
                <w:sz w:val="28"/>
                <w:szCs w:val="28"/>
              </w:rPr>
              <w:t>-</w:t>
            </w:r>
            <w:r>
              <w:rPr>
                <w:rStyle w:val="cs23fb0664"/>
                <w:color w:val="000000"/>
                <w:sz w:val="28"/>
                <w:szCs w:val="28"/>
              </w:rPr>
              <w:t> </w:t>
            </w:r>
            <w:r>
              <w:rPr>
                <w:rStyle w:val="csd2c743de"/>
                <w:color w:val="000000"/>
                <w:sz w:val="28"/>
                <w:szCs w:val="28"/>
              </w:rPr>
              <w:t>Закон України “Про доступ до публічної інформації”</w:t>
            </w:r>
          </w:p>
          <w:p>
            <w:pPr>
              <w:pStyle w:val="cs66e64e55"/>
              <w:spacing w:beforeAutospacing="0" w:before="0" w:afterAutospacing="0" w:after="0"/>
              <w:jc w:val="both"/>
              <w:rPr>
                <w:color w:val="000000"/>
                <w:sz w:val="28"/>
                <w:szCs w:val="28"/>
              </w:rPr>
            </w:pPr>
            <w:r>
              <w:rPr>
                <w:rStyle w:val="csd2c743de"/>
                <w:color w:val="000000"/>
                <w:sz w:val="28"/>
                <w:szCs w:val="28"/>
              </w:rPr>
              <w:t>- Закон України “Про захист персональних даних”.</w:t>
            </w:r>
          </w:p>
        </w:tc>
      </w:tr>
      <w:tr>
        <w:trPr>
          <w:trHeight w:val="1496"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 у сфері</w:t>
            </w:r>
          </w:p>
        </w:tc>
        <w:tc>
          <w:tcPr>
            <w:tcW w:w="5930" w:type="dxa"/>
            <w:tcBorders>
              <w:top w:val="single" w:sz="4" w:space="0" w:color="000000"/>
              <w:left w:val="single" w:sz="4" w:space="0" w:color="000000"/>
              <w:bottom w:val="single" w:sz="4" w:space="0" w:color="000000"/>
              <w:right w:val="single" w:sz="4" w:space="0" w:color="000000"/>
            </w:tcBorders>
          </w:tcPr>
          <w:p>
            <w:pPr>
              <w:pStyle w:val="csd270a203"/>
              <w:spacing w:beforeAutospacing="0" w:before="0" w:afterAutospacing="0" w:after="0"/>
              <w:jc w:val="both"/>
              <w:rPr>
                <w:sz w:val="28"/>
                <w:szCs w:val="28"/>
              </w:rPr>
            </w:pPr>
            <w:r>
              <w:rPr>
                <w:rStyle w:val="csd2c743de"/>
                <w:color w:val="000000"/>
                <w:sz w:val="28"/>
                <w:szCs w:val="28"/>
              </w:rPr>
              <w:t>Знання:</w:t>
            </w:r>
          </w:p>
          <w:p>
            <w:pPr>
              <w:pStyle w:val="csd270a203"/>
              <w:spacing w:beforeAutospacing="0" w:before="0" w:afterAutospacing="0" w:after="0"/>
              <w:jc w:val="both"/>
              <w:rPr>
                <w:sz w:val="28"/>
                <w:szCs w:val="28"/>
              </w:rPr>
            </w:pPr>
            <w:r>
              <w:rPr>
                <w:rStyle w:val="csd2c743de"/>
                <w:color w:val="000000"/>
                <w:sz w:val="28"/>
                <w:szCs w:val="28"/>
              </w:rPr>
              <w:t>- Кодекс адміністративного судочинства України;</w:t>
            </w:r>
          </w:p>
          <w:p>
            <w:pPr>
              <w:pStyle w:val="csd270a203"/>
              <w:spacing w:beforeAutospacing="0" w:before="0" w:afterAutospacing="0" w:after="0"/>
              <w:jc w:val="both"/>
              <w:rPr>
                <w:sz w:val="28"/>
                <w:szCs w:val="28"/>
              </w:rPr>
            </w:pPr>
            <w:r>
              <w:rPr>
                <w:rStyle w:val="csd2c743de"/>
                <w:color w:val="000000"/>
                <w:sz w:val="28"/>
                <w:szCs w:val="28"/>
              </w:rPr>
              <w:t>- Закону України «Про виконавче провадження»;</w:t>
            </w:r>
          </w:p>
          <w:p>
            <w:pPr>
              <w:pStyle w:val="Normal"/>
              <w:spacing w:lineRule="auto" w:line="240"/>
              <w:ind w:hanging="0"/>
              <w:rPr>
                <w:szCs w:val="28"/>
              </w:rPr>
            </w:pPr>
            <w:r>
              <w:rPr>
                <w:rStyle w:val="csd2c743de"/>
                <w:color w:val="000000"/>
                <w:szCs w:val="28"/>
              </w:rPr>
              <w:t>- Закону України «Про загальнообов’язкове державне пенсійне страхування».</w:t>
            </w:r>
          </w:p>
          <w:p>
            <w:pPr>
              <w:pStyle w:val="Normal"/>
              <w:spacing w:lineRule="auto" w:line="240"/>
              <w:ind w:hanging="0"/>
              <w:rPr>
                <w:szCs w:val="28"/>
              </w:rPr>
            </w:pPr>
            <w:r>
              <w:rPr>
                <w:szCs w:val="28"/>
              </w:rPr>
            </w:r>
          </w:p>
        </w:tc>
      </w:tr>
    </w:tbl>
    <w:p>
      <w:pPr>
        <w:pStyle w:val="Style17"/>
        <w:ind w:hanging="0"/>
        <w:jc w:val="center"/>
        <w:rPr>
          <w:bCs/>
          <w:szCs w:val="28"/>
        </w:rPr>
      </w:pPr>
      <w:r>
        <w:rPr/>
        <w:t>______________________________</w:t>
      </w:r>
    </w:p>
    <w:sectPr>
      <w:headerReference w:type="even" r:id="rId2"/>
      <w:headerReference w:type="default" r:id="rId3"/>
      <w:headerReference w:type="first" r:id="rId4"/>
      <w:type w:val="nextPage"/>
      <w:pgSz w:w="11906" w:h="16838"/>
      <w:pgMar w:left="1701" w:right="567" w:gutter="0" w:header="567" w:top="624" w:footer="0" w:bottom="568"/>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swiss"/>
    <w:pitch w:val="variable"/>
  </w:font>
  <w:font w:name="Cambria">
    <w:charset w:val="cc"/>
    <w:family w:val="roman"/>
    <w:pitch w:val="variable"/>
  </w:font>
  <w:font w:name="Liberation Sans">
    <w:altName w:val="Arial"/>
    <w:charset w:val="cc"/>
    <w:family w:val="swiss"/>
    <w:pitch w:val="variable"/>
  </w:font>
  <w:font w:name="Courier New">
    <w:charset w:val="cc"/>
    <w:family w:val="roman"/>
    <w:pitch w:val="variable"/>
  </w:font>
  <w:font w:name="OpenSymbol">
    <w:altName w:val="Arial Unicode MS"/>
    <w:charset w:val="01"/>
    <w:family w:val="auto"/>
    <w:pitch w:val="variable"/>
  </w:font>
  <w:font w:name="Courier New">
    <w:charset w:val="01"/>
    <w:family w:val="modern"/>
    <w:pitch w:val="fixed"/>
  </w:font>
  <w:font w:name="Noto Sans Symbols">
    <w:charset w:val="01"/>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mc:AlternateContent>
        <mc:Choice Requires="wps">
          <w:drawing>
            <wp:anchor behindDoc="1" distT="5080" distB="5080" distL="5715" distR="4445" simplePos="0" locked="0" layoutInCell="0" allowOverlap="1" relativeHeight="2" wp14:anchorId="2066F5DF">
              <wp:simplePos x="0" y="0"/>
              <wp:positionH relativeFrom="margin">
                <wp:align>center</wp:align>
              </wp:positionH>
              <wp:positionV relativeFrom="paragraph">
                <wp:posOffset>635</wp:posOffset>
              </wp:positionV>
              <wp:extent cx="1769745" cy="1773555"/>
              <wp:effectExtent l="5715" t="5080" r="4445" b="5080"/>
              <wp:wrapNone/>
              <wp:docPr id="1" name="shape_0"/>
              <a:graphic xmlns:a="http://schemas.openxmlformats.org/drawingml/2006/main">
                <a:graphicData uri="http://schemas.microsoft.com/office/word/2010/wordprocessingShape">
                  <wps:wsp>
                    <wps:cNvSpPr/>
                    <wps:spPr>
                      <a:xfrm>
                        <a:off x="0" y="0"/>
                        <a:ext cx="1769760" cy="1773720"/>
                      </a:xfrm>
                      <a:custGeom>
                        <a:avLst/>
                        <a:gdLst>
                          <a:gd name="textAreaLeft" fmla="*/ 0 w 1003320"/>
                          <a:gd name="textAreaRight" fmla="*/ 1005480 w 1003320"/>
                          <a:gd name="textAreaTop" fmla="*/ 0 h 1005480"/>
                          <a:gd name="textAreaBottom" fmla="*/ 1007640 h 1005480"/>
                          <a:gd name="GluePoint1X" fmla="*/ 4917 w 4918"/>
                          <a:gd name="GluePoint1Y" fmla="*/ 4927 h 4928"/>
                          <a:gd name="GluePoint2X" fmla="*/ 0 w 4918"/>
                          <a:gd name="GluePoint2Y" fmla="*/ 4927 h 4928"/>
                          <a:gd name="GluePoint3X" fmla="*/ 0 w 4918"/>
                          <a:gd name="GluePoint3Y" fmla="*/ 0 h 4928"/>
                          <a:gd name="GluePoint4X" fmla="*/ 4917 w 4918"/>
                          <a:gd name="GluePoint4Y" fmla="*/ 0 h 4928"/>
                          <a:gd name="GluePoint5X" fmla="*/ 4917 w 4918"/>
                          <a:gd name="GluePoint5Y" fmla="*/ 4927 h 4928"/>
                        </a:gdLst>
                        <a:ahLst/>
                        <a:cxnLst>
                          <a:cxn ang="0">
                            <a:pos x="GluePoint1X" y="GluePoint1Y"/>
                          </a:cxn>
                          <a:cxn ang="0">
                            <a:pos x="GluePoint2X" y="GluePoint2Y"/>
                          </a:cxn>
                          <a:cxn ang="0">
                            <a:pos x="GluePoint3X" y="GluePoint3Y"/>
                          </a:cxn>
                          <a:cxn ang="0">
                            <a:pos x="GluePoint4X" y="GluePoint4Y"/>
                          </a:cxn>
                          <a:cxn ang="0">
                            <a:pos x="GluePoint5X" y="GluePoint5Y"/>
                          </a:cxn>
                        </a:cxnLst>
                        <a:rect l="textAreaLeft" t="textAreaTop" r="textAreaRight" b="textAreaBottom"/>
                        <a:pathLst>
                          <a:path w="4918" h="4928">
                            <a:moveTo>
                              <a:pt x="4917" y="4927"/>
                            </a:moveTo>
                            <a:lnTo>
                              <a:pt x="0" y="4927"/>
                            </a:lnTo>
                            <a:lnTo>
                              <a:pt x="0" y="0"/>
                            </a:lnTo>
                            <a:lnTo>
                              <a:pt x="4917" y="0"/>
                            </a:lnTo>
                            <a:lnTo>
                              <a:pt x="4917" y="4927"/>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20"/>
      </w:rPr>
    </w:pPr>
    <w:r>
      <w:rPr>
        <w:sz w:val="20"/>
      </w:rPr>
      <mc:AlternateContent>
        <mc:Choice Requires="wps">
          <w:drawing>
            <wp:anchor behindDoc="1" distT="5080" distB="5080" distL="5715" distR="4445" simplePos="0" locked="0" layoutInCell="0" allowOverlap="1" relativeHeight="5" wp14:anchorId="28F31F1D">
              <wp:simplePos x="0" y="0"/>
              <wp:positionH relativeFrom="margin">
                <wp:align>center</wp:align>
              </wp:positionH>
              <wp:positionV relativeFrom="paragraph">
                <wp:posOffset>-23589615</wp:posOffset>
              </wp:positionV>
              <wp:extent cx="3923665" cy="1409700"/>
              <wp:effectExtent l="5715" t="5080" r="4445" b="5080"/>
              <wp:wrapNone/>
              <wp:docPr id="2" name="shape_0"/>
              <a:graphic xmlns:a="http://schemas.openxmlformats.org/drawingml/2006/main">
                <a:graphicData uri="http://schemas.microsoft.com/office/word/2010/wordprocessingShape">
                  <wps:wsp>
                    <wps:cNvSpPr/>
                    <wps:spPr>
                      <a:xfrm>
                        <a:off x="0" y="0"/>
                        <a:ext cx="3923640" cy="1409760"/>
                      </a:xfrm>
                      <a:custGeom>
                        <a:avLst/>
                        <a:gdLst>
                          <a:gd name="textAreaLeft" fmla="*/ 0 w 2224440"/>
                          <a:gd name="textAreaRight" fmla="*/ 2226600 w 2224440"/>
                          <a:gd name="textAreaTop" fmla="*/ 0 h 799200"/>
                          <a:gd name="textAreaBottom" fmla="*/ 801360 h 799200"/>
                          <a:gd name="GluePoint1X" fmla="*/ 10900 w 10901"/>
                          <a:gd name="GluePoint1Y" fmla="*/ 3917 h 3918"/>
                          <a:gd name="GluePoint2X" fmla="*/ 10900 w 10901"/>
                          <a:gd name="GluePoint2Y" fmla="*/ 0 h 3918"/>
                          <a:gd name="GluePoint3X" fmla="*/ 10900 w 10901"/>
                          <a:gd name="GluePoint3Y" fmla="*/ 3917 h 3918"/>
                          <a:gd name="GluePoint4X" fmla="*/ 0 w 10901"/>
                          <a:gd name="GluePoint4Y" fmla="*/ 3917 h 3918"/>
                          <a:gd name="GluePoint5X" fmla="*/ 0 w 10901"/>
                          <a:gd name="GluePoint5Y" fmla="*/ 0 h 3918"/>
                        </a:gdLst>
                        <a:ahLst/>
                        <a:cxnLst>
                          <a:cxn ang="0">
                            <a:pos x="GluePoint1X" y="GluePoint1Y"/>
                          </a:cxn>
                          <a:cxn ang="0">
                            <a:pos x="GluePoint2X" y="GluePoint2Y"/>
                          </a:cxn>
                          <a:cxn ang="0">
                            <a:pos x="GluePoint3X" y="GluePoint3Y"/>
                          </a:cxn>
                          <a:cxn ang="0">
                            <a:pos x="GluePoint4X" y="GluePoint4Y"/>
                          </a:cxn>
                          <a:cxn ang="0">
                            <a:pos x="GluePoint5X" y="GluePoint5Y"/>
                          </a:cxn>
                        </a:cxnLst>
                        <a:rect l="textAreaLeft" t="textAreaTop" r="textAreaRight" b="textAreaBottom"/>
                        <a:pathLst>
                          <a:path w="10901" h="3918">
                            <a:moveTo>
                              <a:pt x="10900" y="3917"/>
                            </a:moveTo>
                            <a:lnTo>
                              <a:pt x="10900" y="0"/>
                            </a:lnTo>
                            <a:lnTo>
                              <a:pt x="10900" y="3917"/>
                            </a:lnTo>
                            <a:lnTo>
                              <a:pt x="0" y="3917"/>
                            </a:lnTo>
                            <a:lnTo>
                              <a:pt x="0" y="0"/>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4"/>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bullet"/>
      <w:lvlText w:val="-"/>
      <w:lvlJc w:val="left"/>
      <w:pPr>
        <w:tabs>
          <w:tab w:val="num" w:pos="0"/>
        </w:tabs>
        <w:ind w:left="2061" w:hanging="360"/>
      </w:pPr>
      <w:rPr>
        <w:rFonts w:ascii="OpenSymbol" w:hAnsi="OpenSymbol" w:cs="OpenSymbol" w:hint="default"/>
      </w:rPr>
    </w:lvl>
    <w:lvl w:ilvl="1">
      <w:start w:val="1"/>
      <w:numFmt w:val="bullet"/>
      <w:lvlText w:val="o"/>
      <w:lvlJc w:val="left"/>
      <w:pPr>
        <w:tabs>
          <w:tab w:val="num" w:pos="0"/>
        </w:tabs>
        <w:ind w:left="2781" w:hanging="360"/>
      </w:pPr>
      <w:rPr>
        <w:rFonts w:ascii="Courier New" w:hAnsi="Courier New" w:cs="Courier New" w:hint="default"/>
      </w:rPr>
    </w:lvl>
    <w:lvl w:ilvl="2">
      <w:start w:val="1"/>
      <w:numFmt w:val="bullet"/>
      <w:lvlText w:val="▪"/>
      <w:lvlJc w:val="left"/>
      <w:pPr>
        <w:tabs>
          <w:tab w:val="num" w:pos="0"/>
        </w:tabs>
        <w:ind w:left="3501" w:hanging="360"/>
      </w:pPr>
      <w:rPr>
        <w:rFonts w:ascii="Noto Sans Symbols" w:hAnsi="Noto Sans Symbols" w:cs="Noto Sans Symbols" w:hint="default"/>
      </w:rPr>
    </w:lvl>
    <w:lvl w:ilvl="3">
      <w:start w:val="1"/>
      <w:numFmt w:val="bullet"/>
      <w:lvlText w:val="●"/>
      <w:lvlJc w:val="left"/>
      <w:pPr>
        <w:tabs>
          <w:tab w:val="num" w:pos="0"/>
        </w:tabs>
        <w:ind w:left="4221" w:hanging="360"/>
      </w:pPr>
      <w:rPr>
        <w:rFonts w:ascii="Noto Sans Symbols" w:hAnsi="Noto Sans Symbols" w:cs="Noto Sans Symbols" w:hint="default"/>
      </w:rPr>
    </w:lvl>
    <w:lvl w:ilvl="4">
      <w:start w:val="1"/>
      <w:numFmt w:val="bullet"/>
      <w:lvlText w:val="o"/>
      <w:lvlJc w:val="left"/>
      <w:pPr>
        <w:tabs>
          <w:tab w:val="num" w:pos="0"/>
        </w:tabs>
        <w:ind w:left="4941" w:hanging="360"/>
      </w:pPr>
      <w:rPr>
        <w:rFonts w:ascii="Courier New" w:hAnsi="Courier New" w:cs="Courier New" w:hint="default"/>
      </w:rPr>
    </w:lvl>
    <w:lvl w:ilvl="5">
      <w:start w:val="1"/>
      <w:numFmt w:val="bullet"/>
      <w:lvlText w:val="▪"/>
      <w:lvlJc w:val="left"/>
      <w:pPr>
        <w:tabs>
          <w:tab w:val="num" w:pos="0"/>
        </w:tabs>
        <w:ind w:left="5661" w:hanging="360"/>
      </w:pPr>
      <w:rPr>
        <w:rFonts w:ascii="Noto Sans Symbols" w:hAnsi="Noto Sans Symbols" w:cs="Noto Sans Symbols" w:hint="default"/>
      </w:rPr>
    </w:lvl>
    <w:lvl w:ilvl="6">
      <w:start w:val="1"/>
      <w:numFmt w:val="bullet"/>
      <w:lvlText w:val="●"/>
      <w:lvlJc w:val="left"/>
      <w:pPr>
        <w:tabs>
          <w:tab w:val="num" w:pos="0"/>
        </w:tabs>
        <w:ind w:left="6381" w:hanging="360"/>
      </w:pPr>
      <w:rPr>
        <w:rFonts w:ascii="Noto Sans Symbols" w:hAnsi="Noto Sans Symbols" w:cs="Noto Sans Symbols" w:hint="default"/>
      </w:rPr>
    </w:lvl>
    <w:lvl w:ilvl="7">
      <w:start w:val="1"/>
      <w:numFmt w:val="bullet"/>
      <w:lvlText w:val="o"/>
      <w:lvlJc w:val="left"/>
      <w:pPr>
        <w:tabs>
          <w:tab w:val="num" w:pos="0"/>
        </w:tabs>
        <w:ind w:left="7101" w:hanging="360"/>
      </w:pPr>
      <w:rPr>
        <w:rFonts w:ascii="Courier New" w:hAnsi="Courier New" w:cs="Courier New" w:hint="default"/>
      </w:rPr>
    </w:lvl>
    <w:lvl w:ilvl="8">
      <w:start w:val="1"/>
      <w:numFmt w:val="bullet"/>
      <w:lvlText w:val="▪"/>
      <w:lvlJc w:val="left"/>
      <w:pPr>
        <w:tabs>
          <w:tab w:val="num" w:pos="0"/>
        </w:tabs>
        <w:ind w:left="7821" w:hanging="360"/>
      </w:pPr>
      <w:rPr>
        <w:rFonts w:ascii="Noto Sans Symbols" w:hAnsi="Noto Sans Symbols" w:cs="Noto Sans Symbol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embedSystemFonts/>
  <w:defaultTabStop w:val="720"/>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epHandle" w:val="262696"/>
  </w:docVars>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uk-UA"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174f4"/>
    <w:pPr>
      <w:widowControl/>
      <w:suppressAutoHyphens w:val="true"/>
      <w:bidi w:val="0"/>
      <w:spacing w:lineRule="auto" w:line="276" w:before="0" w:after="0"/>
      <w:ind w:firstLine="709"/>
      <w:jc w:val="both"/>
    </w:pPr>
    <w:rPr>
      <w:rFonts w:ascii="Times New Roman" w:hAnsi="Times New Roman" w:eastAsia="Times New Roman" w:cs="Times New Roman"/>
      <w:color w:val="auto"/>
      <w:kern w:val="0"/>
      <w:sz w:val="28"/>
      <w:szCs w:val="20"/>
      <w:lang w:val="uk-UA" w:eastAsia="ru-RU" w:bidi="ar-SA"/>
    </w:rPr>
  </w:style>
  <w:style w:type="paragraph" w:styleId="Heading1">
    <w:name w:val="heading 1"/>
    <w:basedOn w:val="Normal"/>
    <w:next w:val="Normal"/>
    <w:qFormat/>
    <w:rsid w:val="002a6b00"/>
    <w:pPr>
      <w:keepNext w:val="true"/>
      <w:spacing w:before="240" w:after="0"/>
      <w:ind w:left="567"/>
      <w:outlineLvl w:val="0"/>
    </w:pPr>
    <w:rPr>
      <w:b/>
      <w:smallCaps/>
    </w:rPr>
  </w:style>
  <w:style w:type="paragraph" w:styleId="Heading2">
    <w:name w:val="heading 2"/>
    <w:basedOn w:val="Normal"/>
    <w:next w:val="Normal"/>
    <w:qFormat/>
    <w:rsid w:val="002a6b00"/>
    <w:pPr>
      <w:keepNext w:val="true"/>
      <w:spacing w:before="120" w:after="0"/>
      <w:ind w:left="567"/>
      <w:outlineLvl w:val="1"/>
    </w:pPr>
    <w:rPr>
      <w:b/>
    </w:rPr>
  </w:style>
  <w:style w:type="paragraph" w:styleId="Heading3">
    <w:name w:val="heading 3"/>
    <w:basedOn w:val="Normal"/>
    <w:next w:val="Normal"/>
    <w:unhideWhenUsed/>
    <w:qFormat/>
    <w:rsid w:val="00330ab2"/>
    <w:pPr>
      <w:keepNext w:val="true"/>
      <w:spacing w:before="120" w:after="0"/>
      <w:ind w:left="567"/>
      <w:outlineLvl w:val="2"/>
    </w:pPr>
    <w:rPr>
      <w:b/>
      <w:i/>
    </w:rPr>
  </w:style>
  <w:style w:type="paragraph" w:styleId="Heading4">
    <w:name w:val="heading 4"/>
    <w:basedOn w:val="Normal"/>
    <w:next w:val="Normal"/>
    <w:qFormat/>
    <w:rsid w:val="002a6b00"/>
    <w:pPr>
      <w:keepNext w:val="true"/>
      <w:spacing w:before="120" w:after="0"/>
      <w:ind w:left="567"/>
      <w:outlineLvl w:val="3"/>
    </w:pPr>
    <w:rPr/>
  </w:style>
  <w:style w:type="character" w:styleId="DefaultParagraphFont" w:default="1">
    <w:name w:val="Default Paragraph Font"/>
    <w:uiPriority w:val="1"/>
    <w:semiHidden/>
    <w:unhideWhenUsed/>
    <w:qFormat/>
    <w:rPr/>
  </w:style>
  <w:style w:type="character" w:styleId="Hyperlink">
    <w:name w:val="Hyperlink"/>
    <w:uiPriority w:val="99"/>
    <w:unhideWhenUsed/>
    <w:rsid w:val="009a0ab5"/>
    <w:rPr>
      <w:color w:val="0000FF"/>
      <w:u w:val="single"/>
    </w:rPr>
  </w:style>
  <w:style w:type="character" w:styleId="Style10" w:customStyle="1">
    <w:name w:val="Текст у виносці Знак"/>
    <w:basedOn w:val="DefaultParagraphFont"/>
    <w:link w:val="BalloonText"/>
    <w:uiPriority w:val="99"/>
    <w:semiHidden/>
    <w:qFormat/>
    <w:rsid w:val="00c6272e"/>
    <w:rPr>
      <w:rFonts w:ascii="Segoe UI" w:hAnsi="Segoe UI" w:cs="Segoe UI"/>
      <w:sz w:val="18"/>
      <w:szCs w:val="18"/>
      <w:lang w:eastAsia="ru-RU"/>
    </w:rPr>
  </w:style>
  <w:style w:type="character" w:styleId="1" w:customStyle="1">
    <w:name w:val="Незакрита згадка1"/>
    <w:basedOn w:val="DefaultParagraphFont"/>
    <w:uiPriority w:val="99"/>
    <w:semiHidden/>
    <w:unhideWhenUsed/>
    <w:qFormat/>
    <w:rsid w:val="0013193b"/>
    <w:rPr>
      <w:color w:val="605E5C"/>
      <w:shd w:fill="E1DFDD" w:val="clear"/>
    </w:rPr>
  </w:style>
  <w:style w:type="character" w:styleId="rvts46" w:customStyle="1">
    <w:name w:val="rvts46"/>
    <w:basedOn w:val="DefaultParagraphFont"/>
    <w:qFormat/>
    <w:rsid w:val="00617106"/>
    <w:rPr/>
  </w:style>
  <w:style w:type="character" w:styleId="rvts37" w:customStyle="1">
    <w:name w:val="rvts37"/>
    <w:basedOn w:val="DefaultParagraphFont"/>
    <w:qFormat/>
    <w:rsid w:val="00617106"/>
    <w:rPr/>
  </w:style>
  <w:style w:type="character" w:styleId="rvts11" w:customStyle="1">
    <w:name w:val="rvts11"/>
    <w:basedOn w:val="DefaultParagraphFont"/>
    <w:qFormat/>
    <w:rsid w:val="00617106"/>
    <w:rPr/>
  </w:style>
  <w:style w:type="character" w:styleId="rvts23" w:customStyle="1">
    <w:name w:val="rvts23"/>
    <w:qFormat/>
    <w:rsid w:val="00280514"/>
    <w:rPr/>
  </w:style>
  <w:style w:type="character" w:styleId="Style11" w:customStyle="1">
    <w:name w:val="Основний текст Знак"/>
    <w:basedOn w:val="DefaultParagraphFont"/>
    <w:qFormat/>
    <w:rsid w:val="000333ef"/>
    <w:rPr>
      <w:sz w:val="28"/>
      <w:lang w:eastAsia="ru-RU"/>
    </w:rPr>
  </w:style>
  <w:style w:type="character" w:styleId="3" w:customStyle="1">
    <w:name w:val="Основний текст з відступом 3 Знак"/>
    <w:basedOn w:val="DefaultParagraphFont"/>
    <w:link w:val="BodyTextIndent3"/>
    <w:uiPriority w:val="99"/>
    <w:qFormat/>
    <w:rsid w:val="001f4aca"/>
    <w:rPr>
      <w:rFonts w:eastAsia="Calibri" w:cs="Times New Roman"/>
      <w:sz w:val="16"/>
      <w:szCs w:val="16"/>
      <w:lang w:eastAsia="en-US"/>
    </w:rPr>
  </w:style>
  <w:style w:type="character" w:styleId="Style12" w:customStyle="1">
    <w:name w:val="Верхний колонтитул Знак"/>
    <w:basedOn w:val="DefaultParagraphFont"/>
    <w:link w:val="14"/>
    <w:uiPriority w:val="99"/>
    <w:qFormat/>
    <w:rsid w:val="00125745"/>
    <w:rPr>
      <w:sz w:val="28"/>
      <w:lang w:eastAsia="ru-RU"/>
    </w:rPr>
  </w:style>
  <w:style w:type="character" w:styleId="FontStyle11" w:customStyle="1">
    <w:name w:val="Font Style11"/>
    <w:basedOn w:val="DefaultParagraphFont"/>
    <w:uiPriority w:val="99"/>
    <w:qFormat/>
    <w:rsid w:val="00d02835"/>
    <w:rPr>
      <w:rFonts w:ascii="Times New Roman" w:hAnsi="Times New Roman" w:cs="Times New Roman"/>
      <w:sz w:val="26"/>
      <w:szCs w:val="26"/>
    </w:rPr>
  </w:style>
  <w:style w:type="character" w:styleId="csd2c743de" w:customStyle="1">
    <w:name w:val="csd2c743de"/>
    <w:basedOn w:val="DefaultParagraphFont"/>
    <w:qFormat/>
    <w:rsid w:val="00ea059c"/>
    <w:rPr/>
  </w:style>
  <w:style w:type="character" w:styleId="csc4fa4e65" w:customStyle="1">
    <w:name w:val="csc4fa4e65"/>
    <w:basedOn w:val="DefaultParagraphFont"/>
    <w:qFormat/>
    <w:rsid w:val="009a1aff"/>
    <w:rPr/>
  </w:style>
  <w:style w:type="character" w:styleId="cs23fb0664" w:customStyle="1">
    <w:name w:val="cs23fb0664"/>
    <w:basedOn w:val="DefaultParagraphFont"/>
    <w:qFormat/>
    <w:rsid w:val="009a1aff"/>
    <w:rPr/>
  </w:style>
  <w:style w:type="character" w:styleId="31" w:customStyle="1">
    <w:name w:val="Заголовок 3 Знак"/>
    <w:basedOn w:val="DefaultParagraphFont"/>
    <w:link w:val="312"/>
    <w:qFormat/>
    <w:rsid w:val="00173dc8"/>
    <w:rPr>
      <w:b/>
      <w:i/>
      <w:sz w:val="28"/>
      <w:lang w:eastAsia="ru-RU"/>
    </w:rPr>
  </w:style>
  <w:style w:type="character" w:styleId="311" w:customStyle="1">
    <w:name w:val="Заголовок 3 Знак1"/>
    <w:basedOn w:val="DefaultParagraphFont"/>
    <w:qFormat/>
    <w:rsid w:val="00330ab2"/>
    <w:rPr>
      <w:rFonts w:ascii="Cambria" w:hAnsi="Cambria" w:eastAsia="" w:cs="" w:asciiTheme="majorHAnsi" w:cstheme="majorBidi" w:eastAsiaTheme="majorEastAsia" w:hAnsiTheme="majorHAnsi"/>
      <w:b/>
      <w:bCs/>
      <w:color w:themeColor="accent1" w:val="4F81BD"/>
      <w:sz w:val="28"/>
      <w:lang w:eastAsia="ru-RU"/>
    </w:rPr>
  </w:style>
  <w:style w:type="character" w:styleId="11" w:customStyle="1">
    <w:name w:val="Неразрешенное упоминание1"/>
    <w:basedOn w:val="DefaultParagraphFont"/>
    <w:qFormat/>
    <w:rsid w:val="002a6b00"/>
    <w:rPr>
      <w:color w:val="605E5C"/>
      <w:shd w:fill="E1DFDD" w:val="clear"/>
    </w:rPr>
  </w:style>
  <w:style w:type="character" w:styleId="Strong">
    <w:name w:val="Strong"/>
    <w:basedOn w:val="DefaultParagraphFont"/>
    <w:qFormat/>
    <w:rsid w:val="002a6b00"/>
    <w:rPr>
      <w:b/>
      <w:bCs/>
    </w:rPr>
  </w:style>
  <w:style w:type="character" w:styleId="Style13" w:customStyle="1">
    <w:name w:val="Верхній колонтитул Знак"/>
    <w:basedOn w:val="DefaultParagraphFont"/>
    <w:qFormat/>
    <w:rsid w:val="002a6b00"/>
    <w:rPr>
      <w:sz w:val="28"/>
      <w:lang w:eastAsia="ru-RU"/>
    </w:rPr>
  </w:style>
  <w:style w:type="paragraph" w:styleId="Style14" w:customStyle="1">
    <w:name w:val="Заголовок"/>
    <w:basedOn w:val="Normal"/>
    <w:next w:val="BodyText"/>
    <w:qFormat/>
    <w:rsid w:val="004341d3"/>
    <w:pPr>
      <w:keepNext w:val="true"/>
      <w:spacing w:before="240" w:after="120"/>
    </w:pPr>
    <w:rPr>
      <w:rFonts w:ascii="Liberation Sans" w:hAnsi="Liberation Sans" w:eastAsia="Microsoft YaHei" w:cs="Lucida Sans"/>
      <w:szCs w:val="28"/>
    </w:rPr>
  </w:style>
  <w:style w:type="paragraph" w:styleId="BodyText">
    <w:name w:val="Body Text"/>
    <w:basedOn w:val="Normal"/>
    <w:link w:val="Style11"/>
    <w:unhideWhenUsed/>
    <w:rsid w:val="000333ef"/>
    <w:pPr>
      <w:spacing w:lineRule="auto" w:line="240"/>
      <w:ind w:hanging="0"/>
      <w:jc w:val="center"/>
    </w:pPr>
    <w:rPr/>
  </w:style>
  <w:style w:type="paragraph" w:styleId="List">
    <w:name w:val="List"/>
    <w:basedOn w:val="BodyText"/>
    <w:rsid w:val="00cd341c"/>
    <w:pPr/>
    <w:rPr>
      <w:rFonts w:cs="Lucida Sans"/>
    </w:rPr>
  </w:style>
  <w:style w:type="paragraph" w:styleId="Caption">
    <w:name w:val="caption"/>
    <w:basedOn w:val="Normal"/>
    <w:qFormat/>
    <w:rsid w:val="005b0ffc"/>
    <w:pPr>
      <w:suppressLineNumbers/>
      <w:spacing w:before="120" w:after="120"/>
    </w:pPr>
    <w:rPr>
      <w:rFonts w:cs="Lucida Sans"/>
      <w:i/>
      <w:iCs/>
      <w:sz w:val="24"/>
      <w:szCs w:val="24"/>
    </w:rPr>
  </w:style>
  <w:style w:type="paragraph" w:styleId="Style15" w:customStyle="1">
    <w:name w:val="Покажчик"/>
    <w:basedOn w:val="Normal"/>
    <w:qFormat/>
    <w:rsid w:val="004341d3"/>
    <w:pPr>
      <w:suppressLineNumbers/>
    </w:pPr>
    <w:rPr>
      <w:rFonts w:cs="Lucida Sans"/>
    </w:rPr>
  </w:style>
  <w:style w:type="paragraph" w:styleId="user" w:customStyle="1">
    <w:name w:val="Заголовок (user)"/>
    <w:basedOn w:val="Normal"/>
    <w:next w:val="BodyText"/>
    <w:qFormat/>
    <w:rsid w:val="00cd341c"/>
    <w:pPr>
      <w:keepNext w:val="true"/>
      <w:spacing w:before="240" w:after="120"/>
    </w:pPr>
    <w:rPr>
      <w:rFonts w:ascii="Liberation Sans" w:hAnsi="Liberation Sans" w:eastAsia="Microsoft YaHei" w:cs="Lucida Sans"/>
      <w:szCs w:val="28"/>
    </w:rPr>
  </w:style>
  <w:style w:type="paragraph" w:styleId="user1" w:customStyle="1">
    <w:name w:val="Покажчик (user)"/>
    <w:basedOn w:val="Normal"/>
    <w:qFormat/>
    <w:rsid w:val="00cd341c"/>
    <w:pPr>
      <w:suppressLineNumbers/>
    </w:pPr>
    <w:rPr>
      <w:rFonts w:cs="Lucida Sans"/>
    </w:rPr>
  </w:style>
  <w:style w:type="paragraph" w:styleId="111" w:customStyle="1">
    <w:name w:val="Заголовок 11"/>
    <w:basedOn w:val="Normal"/>
    <w:next w:val="Normal"/>
    <w:qFormat/>
    <w:rsid w:val="00a0742f"/>
    <w:pPr>
      <w:keepNext w:val="true"/>
      <w:spacing w:before="240" w:after="0"/>
      <w:ind w:left="567"/>
      <w:outlineLvl w:val="0"/>
    </w:pPr>
    <w:rPr>
      <w:b/>
      <w:smallCaps/>
    </w:rPr>
  </w:style>
  <w:style w:type="paragraph" w:styleId="21" w:customStyle="1">
    <w:name w:val="Заголовок 21"/>
    <w:basedOn w:val="Normal"/>
    <w:next w:val="Normal"/>
    <w:qFormat/>
    <w:rsid w:val="00a0742f"/>
    <w:pPr>
      <w:keepNext w:val="true"/>
      <w:spacing w:before="120" w:after="0"/>
      <w:ind w:left="567"/>
      <w:outlineLvl w:val="1"/>
    </w:pPr>
    <w:rPr>
      <w:b/>
    </w:rPr>
  </w:style>
  <w:style w:type="paragraph" w:styleId="312" w:customStyle="1">
    <w:name w:val="Заголовок 31"/>
    <w:basedOn w:val="Normal"/>
    <w:next w:val="Normal"/>
    <w:link w:val="31"/>
    <w:qFormat/>
    <w:rsid w:val="00a0742f"/>
    <w:pPr>
      <w:keepNext w:val="true"/>
      <w:spacing w:before="120" w:after="0"/>
      <w:ind w:left="567"/>
      <w:outlineLvl w:val="2"/>
    </w:pPr>
    <w:rPr>
      <w:b/>
      <w:i/>
    </w:rPr>
  </w:style>
  <w:style w:type="paragraph" w:styleId="41" w:customStyle="1">
    <w:name w:val="Заголовок 41"/>
    <w:basedOn w:val="Normal"/>
    <w:next w:val="Normal"/>
    <w:qFormat/>
    <w:rsid w:val="00a0742f"/>
    <w:pPr>
      <w:keepNext w:val="true"/>
      <w:spacing w:before="120" w:after="0"/>
      <w:ind w:left="567"/>
      <w:outlineLvl w:val="3"/>
    </w:pPr>
    <w:rPr/>
  </w:style>
  <w:style w:type="paragraph" w:styleId="12" w:customStyle="1">
    <w:name w:val="Назва об'єкта1"/>
    <w:basedOn w:val="Normal"/>
    <w:qFormat/>
    <w:rsid w:val="00cd341c"/>
    <w:pPr>
      <w:suppressLineNumbers/>
      <w:spacing w:before="120" w:after="120"/>
    </w:pPr>
    <w:rPr>
      <w:rFonts w:cs="Lucida Sans"/>
      <w:i/>
      <w:iCs/>
      <w:sz w:val="24"/>
      <w:szCs w:val="24"/>
    </w:rPr>
  </w:style>
  <w:style w:type="paragraph" w:styleId="user2" w:customStyle="1">
    <w:name w:val="Верхній і нижній колонтитули (user)"/>
    <w:basedOn w:val="Normal"/>
    <w:qFormat/>
    <w:rsid w:val="00cd341c"/>
    <w:pPr/>
    <w:rPr/>
  </w:style>
  <w:style w:type="paragraph" w:styleId="Style16" w:customStyle="1">
    <w:name w:val="Верхній і нижній колонтитули"/>
    <w:basedOn w:val="Normal"/>
    <w:qFormat/>
    <w:rsid w:val="004341d3"/>
    <w:pPr/>
    <w:rPr/>
  </w:style>
  <w:style w:type="paragraph" w:styleId="13" w:customStyle="1">
    <w:name w:val="Нижній колонтитул1"/>
    <w:basedOn w:val="Normal"/>
    <w:qFormat/>
    <w:rsid w:val="00a0742f"/>
    <w:pPr>
      <w:tabs>
        <w:tab w:val="clear" w:pos="720"/>
        <w:tab w:val="center" w:pos="4153" w:leader="none"/>
        <w:tab w:val="right" w:pos="8306" w:leader="none"/>
      </w:tabs>
    </w:pPr>
    <w:rPr/>
  </w:style>
  <w:style w:type="paragraph" w:styleId="Style17" w:customStyle="1">
    <w:name w:val="Нормальний текст"/>
    <w:basedOn w:val="Normal"/>
    <w:qFormat/>
    <w:rsid w:val="00a0742f"/>
    <w:pPr>
      <w:spacing w:before="120" w:after="0"/>
      <w:ind w:firstLine="567"/>
    </w:pPr>
    <w:rPr/>
  </w:style>
  <w:style w:type="paragraph" w:styleId="Style18" w:customStyle="1">
    <w:name w:val="Шапка документу"/>
    <w:basedOn w:val="Normal"/>
    <w:qFormat/>
    <w:rsid w:val="00a0742f"/>
    <w:pPr>
      <w:keepNext w:val="true"/>
      <w:keepLines/>
      <w:spacing w:before="0" w:after="240"/>
      <w:ind w:left="4536"/>
      <w:jc w:val="center"/>
    </w:pPr>
    <w:rPr/>
  </w:style>
  <w:style w:type="paragraph" w:styleId="14" w:customStyle="1">
    <w:name w:val="Верхній колонтитул1"/>
    <w:basedOn w:val="Normal"/>
    <w:link w:val="Style12"/>
    <w:uiPriority w:val="99"/>
    <w:qFormat/>
    <w:rsid w:val="00a0742f"/>
    <w:pPr>
      <w:tabs>
        <w:tab w:val="clear" w:pos="720"/>
        <w:tab w:val="center" w:pos="4153" w:leader="none"/>
        <w:tab w:val="right" w:pos="8306" w:leader="none"/>
      </w:tabs>
    </w:pPr>
    <w:rPr/>
  </w:style>
  <w:style w:type="paragraph" w:styleId="15" w:customStyle="1">
    <w:name w:val="Підпис1"/>
    <w:basedOn w:val="Normal"/>
    <w:qFormat/>
    <w:rsid w:val="00a0742f"/>
    <w:pPr>
      <w:keepLines/>
      <w:tabs>
        <w:tab w:val="clear" w:pos="720"/>
        <w:tab w:val="center" w:pos="2268" w:leader="none"/>
        <w:tab w:val="left" w:pos="6804" w:leader="none"/>
      </w:tabs>
      <w:spacing w:before="360" w:after="0"/>
    </w:pPr>
    <w:rPr>
      <w:b/>
      <w:position w:val="-48"/>
    </w:rPr>
  </w:style>
  <w:style w:type="paragraph" w:styleId="Style19" w:customStyle="1">
    <w:name w:val="Глава документу"/>
    <w:basedOn w:val="Normal"/>
    <w:next w:val="Normal"/>
    <w:qFormat/>
    <w:rsid w:val="00a0742f"/>
    <w:pPr>
      <w:keepNext w:val="true"/>
      <w:keepLines/>
      <w:spacing w:before="120" w:after="120"/>
      <w:jc w:val="center"/>
    </w:pPr>
    <w:rPr/>
  </w:style>
  <w:style w:type="paragraph" w:styleId="Style20" w:customStyle="1">
    <w:name w:val="Герб"/>
    <w:basedOn w:val="Normal"/>
    <w:qFormat/>
    <w:rsid w:val="00a0742f"/>
    <w:pPr>
      <w:keepNext w:val="true"/>
      <w:keepLines/>
      <w:jc w:val="center"/>
    </w:pPr>
    <w:rPr>
      <w:sz w:val="144"/>
      <w:lang w:val="en-US"/>
    </w:rPr>
  </w:style>
  <w:style w:type="paragraph" w:styleId="Style21" w:customStyle="1">
    <w:name w:val="Установа"/>
    <w:basedOn w:val="Normal"/>
    <w:qFormat/>
    <w:rsid w:val="00a0742f"/>
    <w:pPr>
      <w:keepNext w:val="true"/>
      <w:keepLines/>
      <w:spacing w:before="120" w:after="0"/>
      <w:jc w:val="center"/>
    </w:pPr>
    <w:rPr>
      <w:b/>
      <w:sz w:val="40"/>
    </w:rPr>
  </w:style>
  <w:style w:type="paragraph" w:styleId="Style22" w:customStyle="1">
    <w:name w:val="Вид документа"/>
    <w:basedOn w:val="Style21"/>
    <w:next w:val="Normal"/>
    <w:qFormat/>
    <w:rsid w:val="00a0742f"/>
    <w:pPr>
      <w:spacing w:before="360" w:after="240"/>
    </w:pPr>
    <w:rPr>
      <w:spacing w:val="20"/>
      <w:sz w:val="26"/>
    </w:rPr>
  </w:style>
  <w:style w:type="paragraph" w:styleId="Style23" w:customStyle="1">
    <w:name w:val="Час та місце"/>
    <w:basedOn w:val="Normal"/>
    <w:qFormat/>
    <w:rsid w:val="00a0742f"/>
    <w:pPr>
      <w:keepNext w:val="true"/>
      <w:keepLines/>
      <w:spacing w:before="120" w:after="240"/>
      <w:jc w:val="center"/>
    </w:pPr>
    <w:rPr/>
  </w:style>
  <w:style w:type="paragraph" w:styleId="Style24" w:customStyle="1">
    <w:name w:val="Назва документа"/>
    <w:basedOn w:val="Normal"/>
    <w:next w:val="Style17"/>
    <w:qFormat/>
    <w:rsid w:val="00a0742f"/>
    <w:pPr>
      <w:keepNext w:val="true"/>
      <w:keepLines/>
      <w:spacing w:before="240" w:after="240"/>
      <w:jc w:val="center"/>
    </w:pPr>
    <w:rPr>
      <w:b/>
    </w:rPr>
  </w:style>
  <w:style w:type="paragraph" w:styleId="NormalText" w:customStyle="1">
    <w:name w:val="Normal Text"/>
    <w:basedOn w:val="Normal"/>
    <w:qFormat/>
    <w:rsid w:val="00a0742f"/>
    <w:pPr>
      <w:ind w:firstLine="567"/>
    </w:pPr>
    <w:rPr/>
  </w:style>
  <w:style w:type="paragraph" w:styleId="ShapkaDocumentu" w:customStyle="1">
    <w:name w:val="Shapka Documentu"/>
    <w:basedOn w:val="NormalText"/>
    <w:qFormat/>
    <w:rsid w:val="00a0742f"/>
    <w:pPr>
      <w:keepNext w:val="true"/>
      <w:keepLines/>
      <w:spacing w:before="0" w:after="240"/>
      <w:ind w:hanging="0" w:left="3969"/>
      <w:jc w:val="center"/>
    </w:pPr>
    <w:rPr/>
  </w:style>
  <w:style w:type="paragraph" w:styleId="Default" w:customStyle="1">
    <w:name w:val="Default"/>
    <w:qFormat/>
    <w:rsid w:val="00131b14"/>
    <w:pPr>
      <w:widowControl/>
      <w:suppressAutoHyphens w:val="true"/>
      <w:bidi w:val="0"/>
      <w:spacing w:before="0" w:after="0"/>
      <w:jc w:val="left"/>
    </w:pPr>
    <w:rPr>
      <w:rFonts w:ascii="Times New Roman" w:hAnsi="Times New Roman" w:eastAsia="Times New Roman" w:cs="Times New Roman"/>
      <w:color w:val="000000"/>
      <w:kern w:val="0"/>
      <w:sz w:val="24"/>
      <w:szCs w:val="24"/>
      <w:lang w:val="uk-UA" w:eastAsia="uk-UA" w:bidi="ar-SA"/>
    </w:rPr>
  </w:style>
  <w:style w:type="paragraph" w:styleId="BalloonText">
    <w:name w:val="Balloon Text"/>
    <w:basedOn w:val="Normal"/>
    <w:link w:val="Style10"/>
    <w:uiPriority w:val="99"/>
    <w:semiHidden/>
    <w:unhideWhenUsed/>
    <w:qFormat/>
    <w:rsid w:val="00c6272e"/>
    <w:pPr>
      <w:spacing w:lineRule="auto" w:line="240"/>
    </w:pPr>
    <w:rPr>
      <w:rFonts w:ascii="Segoe UI" w:hAnsi="Segoe UI" w:cs="Segoe UI"/>
      <w:sz w:val="18"/>
      <w:szCs w:val="18"/>
    </w:rPr>
  </w:style>
  <w:style w:type="paragraph" w:styleId="rvps2" w:customStyle="1">
    <w:name w:val="rvps2"/>
    <w:basedOn w:val="Normal"/>
    <w:qFormat/>
    <w:rsid w:val="00617106"/>
    <w:pPr>
      <w:spacing w:lineRule="auto" w:line="240" w:beforeAutospacing="1" w:afterAutospacing="1"/>
      <w:ind w:hanging="0"/>
      <w:jc w:val="left"/>
    </w:pPr>
    <w:rPr>
      <w:sz w:val="24"/>
      <w:szCs w:val="24"/>
    </w:rPr>
  </w:style>
  <w:style w:type="paragraph" w:styleId="NormalWeb">
    <w:name w:val="Normal (Web)"/>
    <w:basedOn w:val="Normal"/>
    <w:qFormat/>
    <w:rsid w:val="00d44706"/>
    <w:pPr>
      <w:spacing w:lineRule="auto" w:line="240" w:beforeAutospacing="1" w:afterAutospacing="1"/>
      <w:ind w:hanging="0"/>
      <w:jc w:val="left"/>
    </w:pPr>
    <w:rPr>
      <w:sz w:val="24"/>
      <w:szCs w:val="24"/>
      <w:lang w:val="ru-RU"/>
    </w:rPr>
  </w:style>
  <w:style w:type="paragraph" w:styleId="BodyTextIndent3">
    <w:name w:val="Body Text Indent 3"/>
    <w:basedOn w:val="Normal"/>
    <w:link w:val="3"/>
    <w:uiPriority w:val="99"/>
    <w:unhideWhenUsed/>
    <w:qFormat/>
    <w:rsid w:val="001f4aca"/>
    <w:pPr>
      <w:spacing w:before="0" w:after="120"/>
      <w:ind w:hanging="0" w:left="283"/>
      <w:jc w:val="left"/>
    </w:pPr>
    <w:rPr>
      <w:rFonts w:eastAsia="Calibri"/>
      <w:sz w:val="16"/>
      <w:szCs w:val="16"/>
      <w:lang w:eastAsia="en-US"/>
    </w:rPr>
  </w:style>
  <w:style w:type="paragraph" w:styleId="rvps12" w:customStyle="1">
    <w:name w:val="rvps12"/>
    <w:basedOn w:val="Normal"/>
    <w:qFormat/>
    <w:rsid w:val="00397565"/>
    <w:pPr>
      <w:spacing w:lineRule="auto" w:line="240" w:beforeAutospacing="1" w:afterAutospacing="1"/>
      <w:ind w:hanging="0"/>
      <w:jc w:val="left"/>
    </w:pPr>
    <w:rPr>
      <w:sz w:val="24"/>
      <w:szCs w:val="24"/>
      <w:lang w:val="ru-RU"/>
    </w:rPr>
  </w:style>
  <w:style w:type="paragraph" w:styleId="ListParagraph">
    <w:name w:val="List Paragraph"/>
    <w:basedOn w:val="Normal"/>
    <w:uiPriority w:val="1"/>
    <w:qFormat/>
    <w:rsid w:val="00df07ff"/>
    <w:pPr>
      <w:spacing w:before="0" w:after="0"/>
      <w:ind w:left="720"/>
      <w:contextualSpacing/>
    </w:pPr>
    <w:rPr/>
  </w:style>
  <w:style w:type="paragraph" w:styleId="313" w:customStyle="1">
    <w:name w:val="Основной текст (3)1"/>
    <w:basedOn w:val="Normal"/>
    <w:qFormat/>
    <w:rsid w:val="00f2497e"/>
    <w:pPr>
      <w:widowControl w:val="false"/>
      <w:shd w:val="clear" w:color="auto" w:fill="FFFFFF"/>
      <w:spacing w:lineRule="atLeast" w:line="240" w:before="0" w:after="600"/>
      <w:ind w:hanging="0"/>
      <w:jc w:val="left"/>
    </w:pPr>
    <w:rPr>
      <w:rFonts w:ascii="Courier New" w:hAnsi="Courier New"/>
      <w:spacing w:val="2"/>
      <w:sz w:val="17"/>
    </w:rPr>
  </w:style>
  <w:style w:type="paragraph" w:styleId="cs66e64e55" w:customStyle="1">
    <w:name w:val="cs66e64e55"/>
    <w:basedOn w:val="Normal"/>
    <w:qFormat/>
    <w:rsid w:val="009a1aff"/>
    <w:pPr>
      <w:spacing w:lineRule="auto" w:line="240" w:beforeAutospacing="1" w:afterAutospacing="1"/>
      <w:ind w:hanging="0"/>
      <w:jc w:val="left"/>
    </w:pPr>
    <w:rPr>
      <w:sz w:val="24"/>
      <w:szCs w:val="24"/>
      <w:lang w:eastAsia="uk-UA"/>
    </w:rPr>
  </w:style>
  <w:style w:type="paragraph" w:styleId="csd270a203" w:customStyle="1">
    <w:name w:val="csd270a203"/>
    <w:basedOn w:val="Normal"/>
    <w:qFormat/>
    <w:rsid w:val="009a1aff"/>
    <w:pPr>
      <w:spacing w:lineRule="auto" w:line="240" w:beforeAutospacing="1" w:afterAutospacing="1"/>
      <w:ind w:hanging="0"/>
      <w:jc w:val="left"/>
    </w:pPr>
    <w:rPr>
      <w:sz w:val="24"/>
      <w:szCs w:val="24"/>
      <w:lang w:eastAsia="uk-UA"/>
    </w:rPr>
  </w:style>
  <w:style w:type="paragraph" w:styleId="user3" w:customStyle="1">
    <w:name w:val="Вміст рамки (user)"/>
    <w:basedOn w:val="Normal"/>
    <w:qFormat/>
    <w:rsid w:val="00cd341c"/>
    <w:pPr/>
    <w:rPr/>
  </w:style>
  <w:style w:type="paragraph" w:styleId="Style25" w:customStyle="1">
    <w:name w:val="Вміст рамки"/>
    <w:basedOn w:val="Normal"/>
    <w:qFormat/>
    <w:rsid w:val="004341d3"/>
    <w:pPr/>
    <w:rPr/>
  </w:style>
  <w:style w:type="paragraph" w:styleId="Header">
    <w:name w:val="header"/>
    <w:basedOn w:val="user2"/>
    <w:rsid w:val="005b0ffc"/>
    <w:pPr/>
    <w:rPr/>
  </w:style>
  <w:style w:type="paragraph" w:styleId="16" w:customStyle="1">
    <w:name w:val="Звичайний1"/>
    <w:qFormat/>
    <w:rsid w:val="002a6b00"/>
    <w:pPr>
      <w:widowControl w:val="false"/>
      <w:suppressAutoHyphens w:val="true"/>
      <w:bidi w:val="0"/>
      <w:spacing w:lineRule="auto" w:line="262" w:before="0" w:after="0"/>
      <w:ind w:firstLine="580"/>
      <w:jc w:val="both"/>
    </w:pPr>
    <w:rPr>
      <w:rFonts w:ascii="Times New Roman" w:hAnsi="Times New Roman" w:eastAsia="Times New Roman" w:cs="Times New Roman"/>
      <w:color w:val="auto"/>
      <w:kern w:val="0"/>
      <w:sz w:val="18"/>
      <w:szCs w:val="20"/>
      <w:lang w:val="uk-UA" w:eastAsia="ru-RU" w:bidi="ar-SA"/>
    </w:rPr>
  </w:style>
  <w:style w:type="paragraph" w:styleId="Footer">
    <w:name w:val="footer"/>
    <w:basedOn w:val="Normal"/>
    <w:rsid w:val="002a6b00"/>
    <w:pPr>
      <w:tabs>
        <w:tab w:val="clear" w:pos="720"/>
        <w:tab w:val="center" w:pos="4153" w:leader="none"/>
        <w:tab w:val="right" w:pos="8306" w:leader="none"/>
      </w:tabs>
    </w:pPr>
    <w:rPr/>
  </w:style>
  <w:style w:type="paragraph" w:styleId="Revision">
    <w:name w:val="Revision"/>
    <w:uiPriority w:val="99"/>
    <w:semiHidden/>
    <w:qFormat/>
    <w:rsid w:val="00b24a3c"/>
    <w:pPr>
      <w:widowControl/>
      <w:suppressAutoHyphens w:val="false"/>
      <w:bidi w:val="0"/>
      <w:spacing w:before="0" w:after="0"/>
      <w:jc w:val="left"/>
    </w:pPr>
    <w:rPr>
      <w:rFonts w:ascii="Times New Roman" w:hAnsi="Times New Roman" w:eastAsia="Times New Roman" w:cs="Times New Roman"/>
      <w:color w:val="auto"/>
      <w:kern w:val="0"/>
      <w:sz w:val="28"/>
      <w:szCs w:val="20"/>
      <w:lang w:val="uk-UA" w:eastAsia="ru-RU" w:bidi="ar-SA"/>
    </w:rPr>
  </w:style>
  <w:style w:type="numbering" w:styleId="user4" w:customStyle="1">
    <w:name w:val="Без маркерів (user)"/>
    <w:uiPriority w:val="99"/>
    <w:semiHidden/>
    <w:unhideWhenUsed/>
    <w:qFormat/>
    <w:rsid w:val="005b0ffc"/>
  </w:style>
  <w:style w:type="numbering" w:styleId="Style26" w:customStyle="1">
    <w:name w:val="Без маркерів"/>
    <w:uiPriority w:val="99"/>
    <w:semiHidden/>
    <w:unhideWhenUsed/>
    <w:qFormat/>
    <w:rsid w:val="004341d3"/>
  </w:style>
  <w:style w:type="table" w:default="1" w:styleId="a1">
    <w:name w:val="Normal Table"/>
    <w:uiPriority w:val="99"/>
    <w:semiHidden/>
    <w:unhideWhenUsed/>
    <w:tblPr>
      <w:tblCellMar>
        <w:top w:w="0" w:type="dxa"/>
        <w:left w:w="108" w:type="dxa"/>
        <w:bottom w:w="0" w:type="dxa"/>
        <w:right w:w="108" w:type="dxa"/>
      </w:tblCellMar>
    </w:tblPr>
  </w:style>
  <w:style w:type="table" w:styleId="afe">
    <w:name w:val="Table Grid"/>
    <w:basedOn w:val="a1"/>
    <w:uiPriority w:val="59"/>
    <w:rsid w:val="00131b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4ECAF-347B-4375-989B-776C9BE1B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Application>LibreOffice/26.2.0.3$Windows_X86_64 LibreOffice_project/620$Build-3</Application>
  <AppVersion>15.0000</AppVersion>
  <Pages>4</Pages>
  <Words>785</Words>
  <Characters>5359</Characters>
  <CharactersWithSpaces>6060</CharactersWithSpaces>
  <Paragraphs>75</Paragraphs>
  <Company>KMU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2026-06-01T07:50:00Z</dcterms:created>
  <dc:creator>1-1</dc:creator>
  <dc:description/>
  <dc:language>uk-UA</dc:language>
  <cp:lastModifiedBy/>
  <cp:lastPrinted>2020-07-03T07:18:00Z</cp:lastPrinted>
  <dcterms:modified xsi:type="dcterms:W3CDTF">2026-08-17T14:29:40Z</dcterms:modified>
  <cp:revision>12</cp:revision>
  <dc:subject/>
  <dc:title>£</dc:title>
</cp:coreProperties>
</file>

<file path=docProps/custom.xml><?xml version="1.0" encoding="utf-8"?>
<Properties xmlns="http://schemas.openxmlformats.org/officeDocument/2006/custom-properties" xmlns:vt="http://schemas.openxmlformats.org/officeDocument/2006/docPropsVTypes"/>
</file>