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start="4819"/>
        <w:jc w:val="start"/>
        <w:rPr>
          <w:bCs/>
        </w:rPr>
      </w:pPr>
      <w:r>
        <w:rPr>
          <w:bCs/>
        </w:rPr>
        <w:t>Додаток</w:t>
      </w:r>
    </w:p>
    <w:p>
      <w:pPr>
        <w:pStyle w:val="Normal"/>
        <w:ind w:hanging="0" w:start="4819"/>
        <w:jc w:val="start"/>
        <w:rPr>
          <w:bCs/>
        </w:rPr>
      </w:pPr>
      <w:r>
        <w:rPr>
          <w:bCs/>
        </w:rPr>
        <w:t xml:space="preserve">до Наказу </w:t>
      </w:r>
    </w:p>
    <w:p>
      <w:pPr>
        <w:pStyle w:val="Normal"/>
        <w:ind w:hanging="0" w:start="4819"/>
        <w:jc w:val="start"/>
        <w:rPr>
          <w:bCs/>
        </w:rPr>
      </w:pPr>
      <w:r>
        <w:rPr>
          <w:bCs/>
        </w:rPr>
        <w:t xml:space="preserve">Головного управління </w:t>
      </w:r>
    </w:p>
    <w:p>
      <w:pPr>
        <w:pStyle w:val="Normal"/>
        <w:ind w:hanging="0" w:start="4819"/>
        <w:jc w:val="start"/>
        <w:rPr>
          <w:bCs/>
        </w:rPr>
      </w:pPr>
      <w:r>
        <w:rPr>
          <w:bCs/>
        </w:rPr>
        <w:t xml:space="preserve">Пенсійного фонду України в м. Києві </w:t>
      </w:r>
    </w:p>
    <w:p>
      <w:pPr>
        <w:pStyle w:val="Normal"/>
        <w:ind w:hanging="0" w:start="4819"/>
        <w:jc w:val="start"/>
        <w:rPr>
          <w:bCs/>
        </w:rPr>
      </w:pPr>
      <w:r>
        <w:rPr>
          <w:b w:val="false"/>
          <w:bCs/>
          <w:i w:val="false"/>
          <w:szCs w:val="28"/>
        </w:rPr>
        <w:t>від “17” серпня 2026 року №________</w:t>
      </w:r>
    </w:p>
    <w:p>
      <w:pPr>
        <w:pStyle w:val="Normal"/>
        <w:ind w:hanging="0"/>
        <w:jc w:val="center"/>
        <w:rPr>
          <w:bCs/>
          <w:szCs w:val="28"/>
        </w:rPr>
      </w:pPr>
      <w:r>
        <w:rPr>
          <w:bCs/>
          <w:szCs w:val="28"/>
        </w:rPr>
      </w:r>
    </w:p>
    <w:p>
      <w:pPr>
        <w:pStyle w:val="Normal"/>
        <w:ind w:hanging="0"/>
        <w:jc w:val="center"/>
        <w:rPr>
          <w:bCs/>
          <w:szCs w:val="28"/>
        </w:rPr>
      </w:pPr>
      <w:r>
        <w:rPr>
          <w:bCs/>
          <w:szCs w:val="28"/>
        </w:rPr>
      </w:r>
    </w:p>
    <w:p>
      <w:pPr>
        <w:pStyle w:val="cs7c5251be"/>
        <w:spacing w:beforeAutospacing="0" w:before="0" w:afterAutospacing="0" w:after="0"/>
        <w:jc w:val="center"/>
        <w:rPr>
          <w:color w:val="000000"/>
          <w:sz w:val="28"/>
          <w:szCs w:val="28"/>
        </w:rPr>
      </w:pPr>
      <w:r>
        <w:rPr>
          <w:bCs/>
          <w:sz w:val="28"/>
          <w:szCs w:val="28"/>
        </w:rPr>
        <w:t>У</w:t>
      </w:r>
      <w:r>
        <w:rPr>
          <w:bCs/>
          <w:sz w:val="28"/>
          <w:szCs w:val="28"/>
        </w:rPr>
        <w:t>мов</w:t>
      </w:r>
      <w:r>
        <w:rPr>
          <w:bCs/>
          <w:sz w:val="28"/>
          <w:szCs w:val="28"/>
        </w:rPr>
        <w:t>и</w:t>
      </w:r>
    </w:p>
    <w:p>
      <w:pPr>
        <w:pStyle w:val="cs7c5251be"/>
        <w:spacing w:beforeAutospacing="0" w:before="0" w:afterAutospacing="0" w:after="0"/>
        <w:jc w:val="center"/>
        <w:rPr>
          <w:bCs/>
          <w:sz w:val="28"/>
          <w:szCs w:val="28"/>
        </w:rPr>
      </w:pPr>
      <w:r>
        <w:rPr>
          <w:bCs/>
          <w:sz w:val="28"/>
          <w:szCs w:val="28"/>
        </w:rPr>
        <w:t>проведення добору</w:t>
      </w:r>
    </w:p>
    <w:p>
      <w:pPr>
        <w:pStyle w:val="cs7c5251be"/>
        <w:spacing w:beforeAutospacing="0" w:before="0" w:afterAutospacing="0" w:after="0"/>
        <w:jc w:val="center"/>
        <w:rPr>
          <w:color w:val="000000"/>
          <w:sz w:val="28"/>
          <w:szCs w:val="28"/>
        </w:rPr>
      </w:pPr>
      <w:r>
        <w:rPr>
          <w:bCs/>
          <w:sz w:val="28"/>
          <w:szCs w:val="28"/>
        </w:rPr>
        <w:t xml:space="preserve"> </w:t>
      </w:r>
      <w:r>
        <w:rPr>
          <w:bCs/>
          <w:sz w:val="28"/>
          <w:szCs w:val="28"/>
        </w:rPr>
        <w:t xml:space="preserve">на зайняття посади державної служби категорії </w:t>
      </w:r>
      <w:r>
        <w:rPr>
          <w:rStyle w:val="csd2c743de"/>
          <w:color w:val="000000"/>
          <w:sz w:val="28"/>
          <w:szCs w:val="28"/>
        </w:rPr>
        <w:t xml:space="preserve">«В» -  головний спеціаліст відділу  з інформаційної безпеки та кіберзахисту управління інформаційних систем та електронних реєстрів </w:t>
      </w:r>
    </w:p>
    <w:p>
      <w:pPr>
        <w:pStyle w:val="cs7c5251be"/>
        <w:spacing w:beforeAutospacing="0" w:before="0" w:afterAutospacing="0" w:after="0"/>
        <w:jc w:val="center"/>
        <w:rPr>
          <w:rStyle w:val="csd2c743de"/>
          <w:color w:val="000000"/>
          <w:sz w:val="28"/>
          <w:szCs w:val="28"/>
        </w:rPr>
      </w:pPr>
      <w:r>
        <w:rPr>
          <w:rStyle w:val="csd2c743de"/>
          <w:color w:val="000000"/>
          <w:sz w:val="28"/>
          <w:szCs w:val="28"/>
        </w:rPr>
        <w:t>(провулок Арт</w:t>
      </w:r>
      <w:r>
        <w:rPr>
          <w:rStyle w:val="csd2c743de"/>
          <w:color w:val="000000"/>
          <w:sz w:val="28"/>
          <w:szCs w:val="28"/>
          <w:lang w:val="en-US"/>
        </w:rPr>
        <w:t>и</w:t>
      </w:r>
      <w:r>
        <w:rPr>
          <w:rStyle w:val="csd2c743de"/>
          <w:color w:val="000000"/>
          <w:sz w:val="28"/>
          <w:szCs w:val="28"/>
        </w:rPr>
        <w:t>лерійський, 7-9)</w:t>
      </w:r>
    </w:p>
    <w:p>
      <w:pPr>
        <w:pStyle w:val="cs7c5251be"/>
        <w:spacing w:beforeAutospacing="0" w:before="0" w:afterAutospacing="0" w:after="0"/>
        <w:jc w:val="center"/>
        <w:rPr>
          <w:color w:val="000000"/>
          <w:sz w:val="27"/>
          <w:szCs w:val="27"/>
        </w:rPr>
      </w:pPr>
      <w:r>
        <w:rPr>
          <w:color w:val="000000"/>
          <w:sz w:val="27"/>
          <w:szCs w:val="27"/>
        </w:rPr>
      </w:r>
    </w:p>
    <w:p>
      <w:pPr>
        <w:pStyle w:val="cs7c5251be"/>
        <w:spacing w:beforeAutospacing="0" w:before="0" w:afterAutospacing="0" w:after="0"/>
        <w:jc w:val="center"/>
        <w:rPr>
          <w:bCs/>
          <w:szCs w:val="28"/>
        </w:rPr>
      </w:pPr>
      <w:r>
        <w:rPr>
          <w:bCs/>
          <w:szCs w:val="28"/>
        </w:rPr>
      </w:r>
    </w:p>
    <w:tbl>
      <w:tblPr>
        <w:tblW w:w="9782" w:type="dxa"/>
        <w:jc w:val="start"/>
        <w:tblInd w:w="-206" w:type="dxa"/>
        <w:tblLayout w:type="fixed"/>
        <w:tblCellMar>
          <w:top w:w="0" w:type="dxa"/>
          <w:start w:w="108" w:type="dxa"/>
          <w:bottom w:w="0" w:type="dxa"/>
          <w:end w:w="108" w:type="dxa"/>
        </w:tblCellMar>
        <w:tblLook w:firstRow="1" w:noVBand="1" w:lastRow="0" w:firstColumn="1" w:lastColumn="0" w:noHBand="0" w:val="04a0"/>
      </w:tblPr>
      <w:tblGrid>
        <w:gridCol w:w="538"/>
        <w:gridCol w:w="51"/>
        <w:gridCol w:w="2920"/>
        <w:gridCol w:w="20"/>
        <w:gridCol w:w="15"/>
        <w:gridCol w:w="6238"/>
      </w:tblGrid>
      <w:tr>
        <w:trPr/>
        <w:tc>
          <w:tcPr>
            <w:tcW w:w="9782"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ind w:firstLine="181"/>
              <w:jc w:val="center"/>
              <w:rPr>
                <w:b/>
                <w:szCs w:val="28"/>
              </w:rPr>
            </w:pPr>
            <w:r>
              <w:rPr>
                <w:b/>
                <w:szCs w:val="28"/>
              </w:rPr>
              <w:t>Загальні умови</w:t>
            </w:r>
          </w:p>
        </w:tc>
      </w:tr>
      <w:tr>
        <w:trPr/>
        <w:tc>
          <w:tcPr>
            <w:tcW w:w="3509" w:type="dxa"/>
            <w:gridSpan w:val="3"/>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73" w:type="dxa"/>
            <w:gridSpan w:val="3"/>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
              </w:numPr>
              <w:shd w:val="clear" w:color="auto" w:fill="FFFFFF"/>
              <w:tabs>
                <w:tab w:val="clear" w:pos="720"/>
                <w:tab w:val="left" w:pos="481" w:leader="none"/>
                <w:tab w:val="left" w:pos="529" w:leader="none"/>
              </w:tabs>
              <w:spacing w:lineRule="auto" w:line="240"/>
              <w:ind w:hanging="0" w:start="0"/>
              <w:rPr>
                <w:color w:val="000000"/>
                <w:szCs w:val="28"/>
                <w:lang w:eastAsia="uk-UA"/>
              </w:rPr>
            </w:pPr>
            <w:r>
              <w:rPr>
                <w:color w:val="000000"/>
                <w:szCs w:val="28"/>
                <w:lang w:eastAsia="uk-UA"/>
              </w:rPr>
              <w:t>Проведення моніторингу стану технічного захисту інформації вузлів інформаційно-комунікаційної системи Головного управління та забезпечення контролю за дотриманням вимог щодо захисту інформації працівниками Головного управління.</w:t>
            </w:r>
          </w:p>
          <w:p>
            <w:pPr>
              <w:pStyle w:val="Normal"/>
              <w:widowControl w:val="false"/>
              <w:numPr>
                <w:ilvl w:val="0"/>
                <w:numId w:val="1"/>
              </w:numPr>
              <w:shd w:val="clear" w:color="auto" w:fill="FFFFFF"/>
              <w:tabs>
                <w:tab w:val="clear" w:pos="720"/>
                <w:tab w:val="left" w:pos="481" w:leader="none"/>
                <w:tab w:val="left" w:pos="529" w:leader="none"/>
              </w:tabs>
              <w:spacing w:lineRule="auto" w:line="240"/>
              <w:ind w:hanging="0" w:start="0"/>
              <w:rPr>
                <w:color w:val="000000"/>
                <w:szCs w:val="28"/>
                <w:lang w:eastAsia="uk-UA"/>
              </w:rPr>
            </w:pPr>
            <w:r>
              <w:rPr>
                <w:color w:val="000000"/>
                <w:szCs w:val="28"/>
                <w:lang w:eastAsia="uk-UA"/>
              </w:rPr>
              <w:t>Забезпечення функціонування цільового профілю з безпеки на вузлах інформаційно-комунікаційної системи Пенсійного фонду України в Головному управлінні та комплексної системи захисту інформації до завершення строку її дії, аналізу стан та ризиків безпеки інформації, перевірки випадки порушення стану безпеки.</w:t>
            </w:r>
          </w:p>
          <w:p>
            <w:pPr>
              <w:pStyle w:val="Normal"/>
              <w:widowControl w:val="false"/>
              <w:numPr>
                <w:ilvl w:val="0"/>
                <w:numId w:val="1"/>
              </w:numPr>
              <w:shd w:val="clear" w:color="auto" w:fill="FFFFFF"/>
              <w:tabs>
                <w:tab w:val="clear" w:pos="720"/>
                <w:tab w:val="left" w:pos="481" w:leader="none"/>
                <w:tab w:val="left" w:pos="529" w:leader="none"/>
              </w:tabs>
              <w:spacing w:lineRule="auto" w:line="240"/>
              <w:ind w:hanging="0" w:start="0"/>
              <w:rPr>
                <w:color w:val="000000"/>
                <w:szCs w:val="28"/>
                <w:lang w:eastAsia="uk-UA"/>
              </w:rPr>
            </w:pPr>
            <w:r>
              <w:rPr>
                <w:color w:val="000000"/>
                <w:szCs w:val="28"/>
                <w:lang w:eastAsia="uk-UA"/>
              </w:rPr>
              <w:t>В межах компетенції здійснення заходів щодо впровадження підсистем інформаційно-комунікаційної системи, реєстрів та баз даних, їх супроводження та адміністрування. Забезпечення дотримання вимог регламентних процедур налаштування, оновлення, архівування, зберігання, профілактики системного, серверного та прикладного програмного забезпечення. Здійснення заходів щодо налаштування та моніторингу стану захисту активного мережевого обладнання.</w:t>
            </w:r>
          </w:p>
          <w:p>
            <w:pPr>
              <w:pStyle w:val="Normal"/>
              <w:widowControl w:val="false"/>
              <w:numPr>
                <w:ilvl w:val="0"/>
                <w:numId w:val="1"/>
              </w:numPr>
              <w:shd w:val="clear" w:color="auto" w:fill="FFFFFF"/>
              <w:tabs>
                <w:tab w:val="clear" w:pos="720"/>
                <w:tab w:val="left" w:pos="481" w:leader="none"/>
                <w:tab w:val="left" w:pos="529" w:leader="none"/>
              </w:tabs>
              <w:spacing w:lineRule="auto" w:line="240"/>
              <w:ind w:hanging="0" w:start="0"/>
              <w:rPr>
                <w:color w:val="000000"/>
                <w:szCs w:val="28"/>
                <w:lang w:eastAsia="uk-UA"/>
              </w:rPr>
            </w:pPr>
            <w:r>
              <w:rPr>
                <w:color w:val="000000"/>
                <w:szCs w:val="28"/>
                <w:lang w:eastAsia="uk-UA"/>
              </w:rPr>
              <w:t>Забезпечення функціонування криптографічного захисту інформації та використання кваліфікованого електронного підпису працівниками Головного управління.</w:t>
            </w:r>
          </w:p>
          <w:p>
            <w:pPr>
              <w:pStyle w:val="Normal"/>
              <w:widowControl w:val="false"/>
              <w:numPr>
                <w:ilvl w:val="0"/>
                <w:numId w:val="1"/>
              </w:numPr>
              <w:shd w:val="clear" w:color="auto" w:fill="FFFFFF"/>
              <w:tabs>
                <w:tab w:val="clear" w:pos="720"/>
                <w:tab w:val="left" w:pos="481" w:leader="none"/>
                <w:tab w:val="left" w:pos="529" w:leader="none"/>
              </w:tabs>
              <w:spacing w:lineRule="auto" w:line="240"/>
              <w:ind w:hanging="0" w:start="0"/>
              <w:rPr>
                <w:color w:val="000000"/>
                <w:szCs w:val="28"/>
                <w:lang w:eastAsia="uk-UA"/>
              </w:rPr>
            </w:pPr>
            <w:r>
              <w:rPr>
                <w:color w:val="000000"/>
                <w:szCs w:val="28"/>
                <w:lang w:eastAsia="uk-UA"/>
              </w:rPr>
              <w:t>Проведення інформаційно-роз’яснювальної роботи щодо забезпечення ефективного захисту інформаційних технологій та систем, що експлуатуються в головному управлінні.</w:t>
            </w:r>
          </w:p>
          <w:p>
            <w:pPr>
              <w:pStyle w:val="Normal"/>
              <w:widowControl w:val="false"/>
              <w:numPr>
                <w:ilvl w:val="0"/>
                <w:numId w:val="1"/>
              </w:numPr>
              <w:shd w:val="clear" w:color="auto" w:fill="FFFFFF"/>
              <w:tabs>
                <w:tab w:val="clear" w:pos="720"/>
                <w:tab w:val="left" w:pos="481" w:leader="none"/>
                <w:tab w:val="left" w:pos="529" w:leader="none"/>
              </w:tabs>
              <w:spacing w:lineRule="auto" w:line="240"/>
              <w:ind w:hanging="0" w:start="0"/>
              <w:rPr>
                <w:color w:val="000000"/>
                <w:szCs w:val="28"/>
                <w:lang w:eastAsia="uk-UA"/>
              </w:rPr>
            </w:pPr>
            <w:r>
              <w:rPr>
                <w:color w:val="000000"/>
                <w:szCs w:val="28"/>
                <w:lang w:eastAsia="uk-UA"/>
              </w:rPr>
              <w:t>Розробка внутрішніх робочих та розпорядчих документів, згідно з якими забезпечується інформаційна безпека та кіберзахист в Головному управлінні.</w:t>
            </w:r>
          </w:p>
          <w:p>
            <w:pPr>
              <w:pStyle w:val="Normal"/>
              <w:numPr>
                <w:ilvl w:val="0"/>
                <w:numId w:val="1"/>
              </w:numPr>
              <w:tabs>
                <w:tab w:val="clear" w:pos="720"/>
                <w:tab w:val="left" w:pos="-77" w:leader="none"/>
                <w:tab w:val="left" w:pos="481" w:leader="none"/>
                <w:tab w:val="left" w:pos="529" w:leader="none"/>
              </w:tabs>
              <w:spacing w:lineRule="auto" w:line="240"/>
              <w:ind w:hanging="0" w:start="0"/>
              <w:rPr/>
            </w:pPr>
            <w:r>
              <w:rPr>
                <w:color w:val="000000"/>
                <w:szCs w:val="28"/>
                <w:lang w:eastAsia="uk-UA"/>
              </w:rPr>
              <w:t>Виконання узагальнення, аналізу, підготовку інформації та аналітичних матеріалів з питань захисту інформаційної безпеки та кіберзахисту в Головному управлінні Пенсійного фонду України в м. Києві.</w:t>
            </w:r>
          </w:p>
        </w:tc>
      </w:tr>
      <w:tr>
        <w:trPr/>
        <w:tc>
          <w:tcPr>
            <w:tcW w:w="3509" w:type="dxa"/>
            <w:gridSpan w:val="3"/>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73"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rPr>
                <w:bCs/>
                <w:szCs w:val="28"/>
              </w:rPr>
            </w:pPr>
            <w:r>
              <w:rPr>
                <w:bCs/>
                <w:szCs w:val="28"/>
              </w:rPr>
              <w:t xml:space="preserve">Посадовий оклад – </w:t>
            </w:r>
            <w:r>
              <w:rPr>
                <w:bCs/>
                <w:color w:val="000000"/>
                <w:szCs w:val="28"/>
              </w:rPr>
              <w:t>20795</w:t>
            </w:r>
            <w:r>
              <w:rPr>
                <w:bCs/>
                <w:szCs w:val="28"/>
              </w:rPr>
              <w:t xml:space="preserve"> грн. </w:t>
            </w:r>
            <w:r>
              <w:rPr>
                <w:rStyle w:val="csd2c743de"/>
                <w:color w:val="000000"/>
                <w:szCs w:val="28"/>
              </w:rPr>
              <w:t>згідно із класифікацією посад</w:t>
            </w:r>
            <w:r>
              <w:rPr>
                <w:bCs/>
                <w:szCs w:val="28"/>
              </w:rPr>
              <w:t>; доплати, компенсації відповідно до статті 52 Закону України «Про державну службу»;надбавка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spacing w:lineRule="auto" w:line="240"/>
              <w:ind w:hanging="0"/>
              <w:rPr>
                <w:bCs/>
                <w:szCs w:val="28"/>
              </w:rPr>
            </w:pPr>
            <w:r>
              <w:rPr>
                <w:bCs/>
                <w:szCs w:val="28"/>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40" w:hRule="atLeast"/>
        </w:trPr>
        <w:tc>
          <w:tcPr>
            <w:tcW w:w="3509" w:type="dxa"/>
            <w:gridSpan w:val="3"/>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73" w:type="dxa"/>
            <w:gridSpan w:val="3"/>
            <w:tcBorders>
              <w:top w:val="single" w:sz="4" w:space="0" w:color="000000"/>
              <w:start w:val="single" w:sz="4" w:space="0" w:color="000000"/>
              <w:bottom w:val="single" w:sz="4" w:space="0" w:color="000000"/>
              <w:end w:val="single" w:sz="4" w:space="0" w:color="000000"/>
            </w:tcBorders>
          </w:tcPr>
          <w:p>
            <w:pPr>
              <w:pStyle w:val="Style18"/>
              <w:spacing w:lineRule="auto" w:line="240" w:before="0" w:after="0"/>
              <w:ind w:hanging="0"/>
              <w:jc w:val="start"/>
              <w:rPr>
                <w:bCs/>
                <w:szCs w:val="28"/>
              </w:rPr>
            </w:pPr>
            <w:r>
              <w:rPr>
                <w:rStyle w:val="csd2c743de"/>
                <w:bCs/>
                <w:color w:val="000000"/>
                <w:szCs w:val="28"/>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c>
          <w:tcPr>
            <w:tcW w:w="9782" w:type="dxa"/>
            <w:gridSpan w:val="6"/>
            <w:tcBorders>
              <w:top w:val="single" w:sz="4" w:space="0" w:color="000000"/>
              <w:start w:val="single" w:sz="4" w:space="0" w:color="000000"/>
              <w:bottom w:val="single" w:sz="4" w:space="0" w:color="000000"/>
              <w:end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end="101"/>
              <w:jc w:val="center"/>
              <w:rPr>
                <w:b/>
                <w:i/>
                <w:iCs/>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tc>
      </w:tr>
      <w:tr>
        <w:trPr/>
        <w:tc>
          <w:tcPr>
            <w:tcW w:w="538" w:type="dxa"/>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rPr/>
            </w:pPr>
            <w:r>
              <w:rPr>
                <w:rStyle w:val="rvts0"/>
                <w:color w:val="000000"/>
              </w:rPr>
              <w:t>Вища освіта за освітнім ступенем не нижче молодшого бакалавра, бакалавра</w:t>
            </w:r>
            <w:r>
              <w:rPr>
                <w:rStyle w:val="rvts0"/>
                <w:color w:val="000000"/>
                <w:szCs w:val="28"/>
              </w:rPr>
              <w:t xml:space="preserve"> </w:t>
            </w:r>
            <w:r>
              <w:rPr>
                <w:rStyle w:val="rvts0"/>
                <w:color w:val="000000"/>
              </w:rPr>
              <w:t xml:space="preserve"> у галузі знань: </w:t>
            </w:r>
            <w:r>
              <w:rPr>
                <w:rStyle w:val="rvts0"/>
              </w:rPr>
              <w:t xml:space="preserve">у галузі знань: </w:t>
            </w:r>
            <w:r>
              <w:rPr>
                <w:rStyle w:val="rvts0"/>
                <w:szCs w:val="28"/>
              </w:rPr>
              <w:t xml:space="preserve">«Інформаційні технології» (пріоритетна спеціальність  «Кібербезпека та захист інформації»), «Безпека та оборона» (спеціальність «Управління інформаційною безпекою»), «Інженерія, виробництво та будівництво» (спеціальності </w:t>
            </w:r>
            <w:r>
              <w:rPr/>
              <w:t xml:space="preserve">«Електроніка, електронні комунікації, приладобудування та радіотехніка», «Інформаційно-вимірювальні технології», «Автоматизація, комп’ютерноінтегровані технології та робототехніка»), </w:t>
            </w:r>
            <w:r>
              <w:rPr>
                <w:rStyle w:val="rvts0"/>
                <w:szCs w:val="28"/>
              </w:rPr>
              <w:t>«Бізнес, адміністрування і право» (спеціальність «Публічне управління та  адміністрування»).</w:t>
            </w:r>
          </w:p>
        </w:tc>
      </w:tr>
      <w:tr>
        <w:trPr/>
        <w:tc>
          <w:tcPr>
            <w:tcW w:w="538" w:type="dxa"/>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28"/>
              <w:rPr>
                <w:bCs/>
                <w:szCs w:val="28"/>
              </w:rPr>
            </w:pPr>
            <w:r>
              <w:rPr>
                <w:szCs w:val="28"/>
                <w:shd w:fill="FFFFFF" w:val="clear"/>
              </w:rPr>
              <w:t>Не потребує</w:t>
            </w:r>
          </w:p>
        </w:tc>
      </w:tr>
      <w:tr>
        <w:trPr>
          <w:trHeight w:val="495" w:hRule="atLeast"/>
        </w:trPr>
        <w:tc>
          <w:tcPr>
            <w:tcW w:w="538" w:type="dxa"/>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jc w:val="center"/>
              <w:rPr>
                <w:b/>
                <w:szCs w:val="28"/>
              </w:rPr>
            </w:pPr>
            <w:r>
              <w:rPr>
                <w:b/>
                <w:szCs w:val="28"/>
              </w:rPr>
              <w:t>Компоненти вимоги</w:t>
            </w:r>
          </w:p>
        </w:tc>
      </w:tr>
      <w:tr>
        <w:trPr>
          <w:trHeight w:val="311" w:hRule="atLeast"/>
        </w:trPr>
        <w:tc>
          <w:tcPr>
            <w:tcW w:w="58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szCs w:val="28"/>
              </w:rPr>
            </w:pPr>
            <w:r>
              <w:rPr>
                <w:szCs w:val="28"/>
              </w:rPr>
              <w:t>1.</w:t>
            </w:r>
          </w:p>
        </w:tc>
        <w:tc>
          <w:tcPr>
            <w:tcW w:w="2940" w:type="dxa"/>
            <w:gridSpan w:val="2"/>
            <w:tcBorders>
              <w:top w:val="single" w:sz="4" w:space="0" w:color="000000"/>
              <w:start w:val="single" w:sz="4" w:space="0" w:color="000000"/>
              <w:bottom w:val="single" w:sz="4" w:space="0" w:color="000000"/>
              <w:end w:val="single" w:sz="4" w:space="0" w:color="000000"/>
            </w:tcBorders>
          </w:tcPr>
          <w:p>
            <w:pPr>
              <w:pStyle w:val="Normal"/>
              <w:ind w:hanging="0"/>
              <w:jc w:val="start"/>
              <w:rPr>
                <w:szCs w:val="28"/>
              </w:rPr>
            </w:pPr>
            <w:r>
              <w:rPr>
                <w:color w:val="000000"/>
                <w:szCs w:val="28"/>
              </w:rPr>
              <w:t>Якісне виконання поставлених завдань</w:t>
            </w:r>
          </w:p>
        </w:tc>
        <w:tc>
          <w:tcPr>
            <w:tcW w:w="625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чітке і точне формулювання мети, цілей і завдань службової діяльності;</w:t>
            </w:r>
          </w:p>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комплексний підхід до виконання завдань, виявлення ризиків;</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 xml:space="preserve"> </w:t>
            </w:r>
            <w:r>
              <w:rPr>
                <w:color w:val="000000"/>
                <w:szCs w:val="28"/>
              </w:rPr>
              <w:t>розуміння змісту завдання і його кінцевих результатів, самостійне визначення можливих шляхів досягнення.</w:t>
            </w:r>
          </w:p>
        </w:tc>
      </w:tr>
      <w:tr>
        <w:trPr>
          <w:trHeight w:val="540" w:hRule="atLeast"/>
        </w:trPr>
        <w:tc>
          <w:tcPr>
            <w:tcW w:w="58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szCs w:val="28"/>
              </w:rPr>
            </w:pPr>
            <w:r>
              <w:rPr>
                <w:szCs w:val="28"/>
              </w:rPr>
              <w:t>2.</w:t>
            </w:r>
          </w:p>
        </w:tc>
        <w:tc>
          <w:tcPr>
            <w:tcW w:w="2940" w:type="dxa"/>
            <w:gridSpan w:val="2"/>
            <w:tcBorders>
              <w:top w:val="single" w:sz="4" w:space="0" w:color="000000"/>
              <w:start w:val="single" w:sz="4" w:space="0" w:color="000000"/>
              <w:bottom w:val="single" w:sz="4" w:space="0" w:color="000000"/>
              <w:end w:val="single" w:sz="4" w:space="0" w:color="000000"/>
            </w:tcBorders>
          </w:tcPr>
          <w:p>
            <w:pPr>
              <w:pStyle w:val="Normal"/>
              <w:ind w:hanging="0" w:start="32" w:end="106"/>
              <w:rPr>
                <w:color w:val="000000"/>
                <w:szCs w:val="28"/>
              </w:rPr>
            </w:pPr>
            <w:r>
              <w:rPr>
                <w:color w:val="000000"/>
                <w:szCs w:val="28"/>
              </w:rPr>
              <w:t>Відповідальність, командна робота та взаємодія</w:t>
            </w:r>
          </w:p>
        </w:tc>
        <w:tc>
          <w:tcPr>
            <w:tcW w:w="625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здатність брати на себе зобов’язання, чітко їх дотримуватись і виконувати;</w:t>
            </w:r>
          </w:p>
          <w:p>
            <w:pPr>
              <w:pStyle w:val="Normal"/>
              <w:widowControl w:val="false"/>
              <w:numPr>
                <w:ilvl w:val="0"/>
                <w:numId w:val="2"/>
              </w:numPr>
              <w:tabs>
                <w:tab w:val="clear" w:pos="720"/>
                <w:tab w:val="left" w:pos="190" w:leader="none"/>
              </w:tabs>
              <w:spacing w:lineRule="auto" w:line="240"/>
              <w:ind w:hanging="0" w:start="0"/>
              <w:rPr>
                <w:color w:val="000000"/>
                <w:szCs w:val="28"/>
              </w:rPr>
            </w:pPr>
            <w:r>
              <w:rPr/>
              <w:t xml:space="preserve">вміння працювати в </w:t>
            </w:r>
            <w:r>
              <w:rPr>
                <w:color w:val="000000"/>
                <w:szCs w:val="28"/>
              </w:rPr>
              <w:t>команді та командної взаємодії.</w:t>
            </w:r>
          </w:p>
        </w:tc>
      </w:tr>
      <w:tr>
        <w:trPr>
          <w:trHeight w:val="2203" w:hRule="atLeast"/>
        </w:trPr>
        <w:tc>
          <w:tcPr>
            <w:tcW w:w="58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szCs w:val="28"/>
              </w:rPr>
            </w:pPr>
            <w:r>
              <w:rPr>
                <w:szCs w:val="28"/>
              </w:rPr>
              <w:t>3.</w:t>
            </w:r>
          </w:p>
        </w:tc>
        <w:tc>
          <w:tcPr>
            <w:tcW w:w="2940"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ind w:hanging="0" w:end="106"/>
              <w:rPr>
                <w:bCs/>
                <w:szCs w:val="28"/>
              </w:rPr>
            </w:pPr>
            <w:r>
              <w:rPr>
                <w:bCs/>
                <w:szCs w:val="28"/>
              </w:rPr>
              <w:t>Аналітичні здібності та обґрунтування власної позиції</w:t>
            </w:r>
          </w:p>
        </w:tc>
        <w:tc>
          <w:tcPr>
            <w:tcW w:w="625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 xml:space="preserve"> </w:t>
            </w:r>
            <w:r>
              <w:rPr>
                <w:color w:val="000000"/>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вміння встановлювати причинно-наслідкові зв’язки;</w:t>
            </w:r>
          </w:p>
          <w:p>
            <w:pPr>
              <w:pStyle w:val="Normal"/>
              <w:widowControl w:val="false"/>
              <w:numPr>
                <w:ilvl w:val="0"/>
                <w:numId w:val="2"/>
              </w:numPr>
              <w:tabs>
                <w:tab w:val="clear" w:pos="720"/>
                <w:tab w:val="left" w:pos="190" w:leader="none"/>
              </w:tabs>
              <w:spacing w:lineRule="auto" w:line="240"/>
              <w:ind w:hanging="0" w:start="0"/>
              <w:rPr>
                <w:bCs/>
                <w:szCs w:val="28"/>
              </w:rPr>
            </w:pPr>
            <w:r>
              <w:rPr>
                <w:color w:val="000000"/>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421" w:hRule="atLeast"/>
        </w:trPr>
        <w:tc>
          <w:tcPr>
            <w:tcW w:w="9782"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start w:val="single" w:sz="4" w:space="0" w:color="000000"/>
              <w:bottom w:val="single" w:sz="4" w:space="0" w:color="000000"/>
              <w:end w:val="single" w:sz="4" w:space="0" w:color="000000"/>
            </w:tcBorders>
          </w:tcPr>
          <w:p>
            <w:pPr>
              <w:pStyle w:val="Default"/>
              <w:jc w:val="center"/>
              <w:rPr>
                <w:b/>
                <w:bCs/>
                <w:color w:val="auto"/>
                <w:sz w:val="28"/>
                <w:szCs w:val="28"/>
                <w:lang w:eastAsia="ru-RU"/>
              </w:rPr>
            </w:pPr>
            <w:r>
              <w:rPr>
                <w:b/>
                <w:bCs/>
                <w:color w:val="auto"/>
                <w:sz w:val="28"/>
                <w:szCs w:val="28"/>
                <w:lang w:eastAsia="ru-RU"/>
              </w:rPr>
              <w:t>Вимога</w:t>
            </w:r>
          </w:p>
        </w:tc>
        <w:tc>
          <w:tcPr>
            <w:tcW w:w="6238" w:type="dxa"/>
            <w:tcBorders>
              <w:top w:val="single" w:sz="4" w:space="0" w:color="000000"/>
              <w:start w:val="single" w:sz="4" w:space="0" w:color="000000"/>
              <w:bottom w:val="single" w:sz="4" w:space="0" w:color="000000"/>
              <w:end w:val="single" w:sz="4" w:space="0" w:color="000000"/>
            </w:tcBorders>
          </w:tcPr>
          <w:p>
            <w:pPr>
              <w:pStyle w:val="Normal"/>
              <w:spacing w:lineRule="auto" w:line="240"/>
              <w:rPr>
                <w:b/>
                <w:szCs w:val="28"/>
              </w:rPr>
            </w:pPr>
            <w:r>
              <w:rPr>
                <w:b/>
                <w:szCs w:val="28"/>
              </w:rPr>
              <w:t>Компоненти вимоги</w:t>
            </w:r>
          </w:p>
        </w:tc>
      </w:tr>
      <w:tr>
        <w:trPr>
          <w:trHeight w:val="398" w:hRule="atLeast"/>
        </w:trPr>
        <w:tc>
          <w:tcPr>
            <w:tcW w:w="538" w:type="dxa"/>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szCs w:val="28"/>
              </w:rPr>
            </w:pPr>
            <w:r>
              <w:rPr>
                <w:szCs w:val="28"/>
              </w:rPr>
              <w:t>Знання:</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Конституції України;</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Закону України «Про запобігання корупції»;</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Закону України «Про державну службу»;</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Закону України «Про доступ до публічної інформації»</w:t>
            </w:r>
          </w:p>
          <w:p>
            <w:pPr>
              <w:pStyle w:val="Normal"/>
              <w:widowControl w:val="false"/>
              <w:numPr>
                <w:ilvl w:val="0"/>
                <w:numId w:val="2"/>
              </w:numPr>
              <w:tabs>
                <w:tab w:val="clear" w:pos="720"/>
                <w:tab w:val="left" w:pos="190" w:leader="none"/>
              </w:tabs>
              <w:spacing w:lineRule="auto" w:line="240"/>
              <w:ind w:hanging="0" w:start="0"/>
              <w:rPr>
                <w:szCs w:val="28"/>
              </w:rPr>
            </w:pPr>
            <w:r>
              <w:rPr>
                <w:color w:val="000000"/>
                <w:szCs w:val="28"/>
              </w:rPr>
              <w:t>Закону України «Про захист персональних даних».</w:t>
            </w:r>
          </w:p>
        </w:tc>
      </w:tr>
      <w:tr>
        <w:trPr>
          <w:trHeight w:val="1496" w:hRule="atLeast"/>
        </w:trPr>
        <w:tc>
          <w:tcPr>
            <w:tcW w:w="538" w:type="dxa"/>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start w:val="single" w:sz="4" w:space="0" w:color="000000"/>
              <w:bottom w:val="single" w:sz="4" w:space="0" w:color="000000"/>
              <w:end w:val="single" w:sz="4" w:space="0" w:color="000000"/>
            </w:tcBorders>
          </w:tcPr>
          <w:p>
            <w:pPr>
              <w:pStyle w:val="Normal"/>
              <w:ind w:hanging="0"/>
              <w:jc w:val="center"/>
              <w:rPr>
                <w:szCs w:val="28"/>
              </w:rPr>
            </w:pPr>
            <w:r>
              <w:rPr>
                <w:szCs w:val="28"/>
              </w:rPr>
              <w:t>Знання:</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Закону України «Про інформацію»;</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Закону України «Про захист інформації в інформаційно-телекомунікаційних системах»;</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 xml:space="preserve">Закону України </w:t>
            </w:r>
            <w:hyperlink r:id="rId2">
              <w:r>
                <w:rPr>
                  <w:rStyle w:val="Style5"/>
                  <w:color w:val="000000"/>
                  <w:szCs w:val="28"/>
                </w:rPr>
                <w:t>«Про захист інформації в автоматизованих системах</w:t>
              </w:r>
            </w:hyperlink>
            <w:r>
              <w:rPr>
                <w:color w:val="000000"/>
                <w:szCs w:val="28"/>
              </w:rPr>
              <w:t>»;</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333333"/>
                <w:shd w:fill="FFFFFF" w:val="clear"/>
              </w:rPr>
              <w:t>Закону України «Про загальнообов’язкове державне пенсійне страхування»;</w:t>
            </w:r>
          </w:p>
          <w:p>
            <w:pPr>
              <w:pStyle w:val="Normal"/>
              <w:widowControl w:val="false"/>
              <w:numPr>
                <w:ilvl w:val="0"/>
                <w:numId w:val="2"/>
              </w:numPr>
              <w:tabs>
                <w:tab w:val="clear" w:pos="720"/>
                <w:tab w:val="left" w:pos="190" w:leader="none"/>
              </w:tabs>
              <w:spacing w:lineRule="auto" w:line="240"/>
              <w:ind w:hanging="0" w:start="0"/>
              <w:rPr>
                <w:color w:val="000000"/>
                <w:szCs w:val="28"/>
              </w:rPr>
            </w:pPr>
            <w:r>
              <w:rPr>
                <w:szCs w:val="28"/>
              </w:rPr>
              <w:t>інших нормативно-правових актів України, що стосуються захисту інформації та Державного реєстру загальнообов’язкового державного соціального страхування (захист інформації).</w:t>
            </w:r>
          </w:p>
        </w:tc>
      </w:tr>
    </w:tbl>
    <w:p>
      <w:pPr>
        <w:pStyle w:val="Style18"/>
        <w:jc w:val="center"/>
        <w:rPr/>
      </w:pPr>
      <w:bookmarkStart w:id="0" w:name="_Hlk218505826"/>
      <w:r>
        <w:rPr>
          <w:bCs/>
          <w:szCs w:val="28"/>
        </w:rPr>
        <w:t>______________________</w:t>
      </w:r>
      <w:bookmarkEnd w:id="0"/>
    </w:p>
    <w:p>
      <w:pPr>
        <w:pStyle w:val="Style18"/>
        <w:ind w:hanging="0"/>
        <w:rPr>
          <w:bCs/>
          <w:szCs w:val="28"/>
        </w:rPr>
      </w:pPr>
      <w:r>
        <w:rPr>
          <w:bCs/>
          <w:szCs w:val="28"/>
        </w:rPr>
      </w:r>
    </w:p>
    <w:sectPr>
      <w:headerReference w:type="even" r:id="rId3"/>
      <w:headerReference w:type="default" r:id="rId4"/>
      <w:headerReference w:type="first" r:id="rId5"/>
      <w:type w:val="nextPage"/>
      <w:pgSz w:w="11906" w:h="16838"/>
      <w:pgMar w:left="1701" w:right="567" w:gutter="0" w:header="567" w:top="709"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Segoe UI">
    <w:charset w:val="cc" w:characterSet="windows-1251"/>
    <w:family w:val="swiss"/>
    <w:pitch w:val="variable"/>
  </w:font>
  <w:font w:name="Liberation Sans">
    <w:altName w:val="Arial"/>
    <w:charset w:val="cc" w:characterSet="windows-1251"/>
    <w:family w:val="swiss"/>
    <w:pitch w:val="variable"/>
  </w:font>
  <w:font w:name="Courier New">
    <w:charset w:val="cc" w:characterSet="windows-1251"/>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0" distB="5080" distL="0" distR="5080" simplePos="0" locked="0" layoutInCell="0" allowOverlap="1" relativeHeight="2" wp14:anchorId="23FB5A18">
              <wp:simplePos x="0" y="0"/>
              <wp:positionH relativeFrom="margin">
                <wp:align>center</wp:align>
              </wp:positionH>
              <wp:positionV relativeFrom="paragraph">
                <wp:posOffset>635</wp:posOffset>
              </wp:positionV>
              <wp:extent cx="14605" cy="14605"/>
              <wp:effectExtent l="0" t="1270" r="0" b="0"/>
              <wp:wrapSquare wrapText="bothSides"/>
              <wp:docPr id="1" name="Прямокутник 1"/>
              <a:graphic xmlns:a="http://schemas.openxmlformats.org/drawingml/2006/main">
                <a:graphicData uri="http://schemas.microsoft.com/office/word/2010/wordprocessingShape">
                  <wps:wsp>
                    <wps:cNvSpPr/>
                    <wps:spPr>
                      <a:xfrm>
                        <a:off x="0" y="0"/>
                        <a:ext cx="14760" cy="14760"/>
                      </a:xfrm>
                      <a:prstGeom prst="rect">
                        <a:avLst/>
                      </a:prstGeom>
                      <a:noFill/>
                      <a:ln w="0">
                        <a:solidFill>
                          <a:srgbClr val="000000"/>
                        </a:solidFill>
                      </a:ln>
                    </wps:spPr>
                    <wps:style>
                      <a:lnRef idx="0"/>
                      <a:fillRef idx="0"/>
                      <a:effectRef idx="0"/>
                      <a:fontRef idx="minor"/>
                    </wps:style>
                    <wps:txbx>
                      <w:txbxContent>
                        <w:p>
                          <w:pPr>
                            <w:pStyle w:val="user3"/>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wps:txbx>
                    <wps:bodyPr lIns="0" tIns="0" rIns="0" bIns="0" anchor="t">
                      <a:noAutofit/>
                    </wps:bodyPr>
                  </wps:wsp>
                </a:graphicData>
              </a:graphic>
            </wp:anchor>
          </w:drawing>
        </mc:Choice>
        <mc:Fallback>
          <w:pict>
            <v:rect id="shape_0" stroked="t" o:allowincell="f" style="position:absolute;margin-left:0pt;margin-top:0.05pt;width:1.1pt;height:1.1pt;mso-wrap-style:square;v-text-anchor:top;mso-position-horizontal:center;mso-position-horizontal-relative:margin" wp14:anchorId="23FB5A18">
              <v:fill o:detectmouseclick="t" on="false"/>
              <v:stroke color="black" joinstyle="round" endcap="flat"/>
              <v:textbox>
                <w:txbxContent>
                  <w:p>
                    <w:pPr>
                      <w:pStyle w:val="user3"/>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573323847"/>
      <w:docPartObj>
        <w:docPartGallery w:val="Page Numbers (Top of Page)"/>
        <w:docPartUnique w:val="true"/>
      </w:docPartObj>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sdtContent>
  </w:sdt>
  <w:p>
    <w:pPr>
      <w:pStyle w:val="Normal"/>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
    <w:lvl w:ilvl="0">
      <w:start w:val="1"/>
      <w:numFmt w:val="bullet"/>
      <w:lvlText w:val="-"/>
      <w:lvlJc w:val="start"/>
      <w:pPr>
        <w:tabs>
          <w:tab w:val="num" w:pos="0"/>
        </w:tabs>
        <w:ind w:start="2061" w:hanging="360"/>
      </w:pPr>
      <w:rPr>
        <w:rFonts w:ascii="OpenSymbol" w:hAnsi="OpenSymbol" w:cs="OpenSymbol" w:hint="default"/>
      </w:rPr>
    </w:lvl>
    <w:lvl w:ilvl="1">
      <w:start w:val="1"/>
      <w:numFmt w:val="bullet"/>
      <w:lvlText w:val="o"/>
      <w:lvlJc w:val="start"/>
      <w:pPr>
        <w:tabs>
          <w:tab w:val="num" w:pos="0"/>
        </w:tabs>
        <w:ind w:start="2781" w:hanging="360"/>
      </w:pPr>
      <w:rPr>
        <w:rFonts w:ascii="Courier New" w:hAnsi="Courier New" w:cs="Courier New" w:hint="default"/>
      </w:rPr>
    </w:lvl>
    <w:lvl w:ilvl="2">
      <w:start w:val="1"/>
      <w:numFmt w:val="bullet"/>
      <w:lvlText w:val="▪"/>
      <w:lvlJc w:val="start"/>
      <w:pPr>
        <w:tabs>
          <w:tab w:val="num" w:pos="0"/>
        </w:tabs>
        <w:ind w:start="3501" w:hanging="360"/>
      </w:pPr>
      <w:rPr>
        <w:rFonts w:ascii="Noto Sans Symbols" w:hAnsi="Noto Sans Symbols" w:cs="Noto Sans Symbols" w:hint="default"/>
      </w:rPr>
    </w:lvl>
    <w:lvl w:ilvl="3">
      <w:start w:val="1"/>
      <w:numFmt w:val="bullet"/>
      <w:lvlText w:val="●"/>
      <w:lvlJc w:val="start"/>
      <w:pPr>
        <w:tabs>
          <w:tab w:val="num" w:pos="0"/>
        </w:tabs>
        <w:ind w:start="4221" w:hanging="360"/>
      </w:pPr>
      <w:rPr>
        <w:rFonts w:ascii="Noto Sans Symbols" w:hAnsi="Noto Sans Symbols" w:cs="Noto Sans Symbols" w:hint="default"/>
      </w:rPr>
    </w:lvl>
    <w:lvl w:ilvl="4">
      <w:start w:val="1"/>
      <w:numFmt w:val="bullet"/>
      <w:lvlText w:val="o"/>
      <w:lvlJc w:val="start"/>
      <w:pPr>
        <w:tabs>
          <w:tab w:val="num" w:pos="0"/>
        </w:tabs>
        <w:ind w:start="4941" w:hanging="360"/>
      </w:pPr>
      <w:rPr>
        <w:rFonts w:ascii="Courier New" w:hAnsi="Courier New" w:cs="Courier New" w:hint="default"/>
      </w:rPr>
    </w:lvl>
    <w:lvl w:ilvl="5">
      <w:start w:val="1"/>
      <w:numFmt w:val="bullet"/>
      <w:lvlText w:val="▪"/>
      <w:lvlJc w:val="start"/>
      <w:pPr>
        <w:tabs>
          <w:tab w:val="num" w:pos="0"/>
        </w:tabs>
        <w:ind w:start="5661" w:hanging="360"/>
      </w:pPr>
      <w:rPr>
        <w:rFonts w:ascii="Noto Sans Symbols" w:hAnsi="Noto Sans Symbols" w:cs="Noto Sans Symbols" w:hint="default"/>
      </w:rPr>
    </w:lvl>
    <w:lvl w:ilvl="6">
      <w:start w:val="1"/>
      <w:numFmt w:val="bullet"/>
      <w:lvlText w:val="●"/>
      <w:lvlJc w:val="start"/>
      <w:pPr>
        <w:tabs>
          <w:tab w:val="num" w:pos="0"/>
        </w:tabs>
        <w:ind w:start="6381" w:hanging="360"/>
      </w:pPr>
      <w:rPr>
        <w:rFonts w:ascii="Noto Sans Symbols" w:hAnsi="Noto Sans Symbols" w:cs="Noto Sans Symbols" w:hint="default"/>
      </w:rPr>
    </w:lvl>
    <w:lvl w:ilvl="7">
      <w:start w:val="1"/>
      <w:numFmt w:val="bullet"/>
      <w:lvlText w:val="o"/>
      <w:lvlJc w:val="start"/>
      <w:pPr>
        <w:tabs>
          <w:tab w:val="num" w:pos="0"/>
        </w:tabs>
        <w:ind w:start="7101" w:hanging="360"/>
      </w:pPr>
      <w:rPr>
        <w:rFonts w:ascii="Courier New" w:hAnsi="Courier New" w:cs="Courier New" w:hint="default"/>
      </w:rPr>
    </w:lvl>
    <w:lvl w:ilvl="8">
      <w:start w:val="1"/>
      <w:numFmt w:val="bullet"/>
      <w:lvlText w:val="▪"/>
      <w:lvlJc w:val="start"/>
      <w:pPr>
        <w:tabs>
          <w:tab w:val="num" w:pos="0"/>
        </w:tabs>
        <w:ind w:start="7821" w:hanging="360"/>
      </w:pPr>
      <w:rPr>
        <w:rFonts w:ascii="Noto Sans Symbols" w:hAnsi="Noto Sans Symbols" w:cs="Noto Sans Symbols" w:hint="default"/>
      </w:rPr>
    </w:lvl>
  </w:abstractNum>
  <w:abstractNum w:abstractNumId="3">
    <w:lvl w:ilvl="0">
      <w:start w:val="1"/>
      <w:numFmt w:val="bullet"/>
      <w:lvlText w:val="-"/>
      <w:lvlJc w:val="start"/>
      <w:pPr>
        <w:tabs>
          <w:tab w:val="num" w:pos="0"/>
        </w:tabs>
        <w:ind w:start="2061" w:hanging="360"/>
      </w:pPr>
      <w:rPr>
        <w:rFonts w:ascii="OpenSymbol" w:hAnsi="OpenSymbol" w:cs="OpenSymbol" w:hint="default"/>
      </w:rPr>
    </w:lvl>
    <w:lvl w:ilvl="1">
      <w:start w:val="1"/>
      <w:numFmt w:val="bullet"/>
      <w:lvlText w:val="o"/>
      <w:lvlJc w:val="start"/>
      <w:pPr>
        <w:tabs>
          <w:tab w:val="num" w:pos="0"/>
        </w:tabs>
        <w:ind w:start="2781" w:hanging="360"/>
      </w:pPr>
      <w:rPr>
        <w:rFonts w:ascii="Courier New" w:hAnsi="Courier New" w:cs="Courier New" w:hint="default"/>
      </w:rPr>
    </w:lvl>
    <w:lvl w:ilvl="2">
      <w:start w:val="1"/>
      <w:numFmt w:val="bullet"/>
      <w:lvlText w:val="▪"/>
      <w:lvlJc w:val="start"/>
      <w:pPr>
        <w:tabs>
          <w:tab w:val="num" w:pos="0"/>
        </w:tabs>
        <w:ind w:start="3501" w:hanging="360"/>
      </w:pPr>
      <w:rPr>
        <w:rFonts w:ascii="Noto Sans Symbols" w:hAnsi="Noto Sans Symbols" w:cs="Noto Sans Symbols" w:hint="default"/>
      </w:rPr>
    </w:lvl>
    <w:lvl w:ilvl="3">
      <w:start w:val="1"/>
      <w:numFmt w:val="bullet"/>
      <w:lvlText w:val="●"/>
      <w:lvlJc w:val="start"/>
      <w:pPr>
        <w:tabs>
          <w:tab w:val="num" w:pos="0"/>
        </w:tabs>
        <w:ind w:start="4221" w:hanging="360"/>
      </w:pPr>
      <w:rPr>
        <w:rFonts w:ascii="Noto Sans Symbols" w:hAnsi="Noto Sans Symbols" w:cs="Noto Sans Symbols" w:hint="default"/>
      </w:rPr>
    </w:lvl>
    <w:lvl w:ilvl="4">
      <w:start w:val="1"/>
      <w:numFmt w:val="bullet"/>
      <w:lvlText w:val="o"/>
      <w:lvlJc w:val="start"/>
      <w:pPr>
        <w:tabs>
          <w:tab w:val="num" w:pos="0"/>
        </w:tabs>
        <w:ind w:start="4941" w:hanging="360"/>
      </w:pPr>
      <w:rPr>
        <w:rFonts w:ascii="Courier New" w:hAnsi="Courier New" w:cs="Courier New" w:hint="default"/>
      </w:rPr>
    </w:lvl>
    <w:lvl w:ilvl="5">
      <w:start w:val="1"/>
      <w:numFmt w:val="bullet"/>
      <w:lvlText w:val="▪"/>
      <w:lvlJc w:val="start"/>
      <w:pPr>
        <w:tabs>
          <w:tab w:val="num" w:pos="0"/>
        </w:tabs>
        <w:ind w:start="5661" w:hanging="360"/>
      </w:pPr>
      <w:rPr>
        <w:rFonts w:ascii="Noto Sans Symbols" w:hAnsi="Noto Sans Symbols" w:cs="Noto Sans Symbols" w:hint="default"/>
      </w:rPr>
    </w:lvl>
    <w:lvl w:ilvl="6">
      <w:start w:val="1"/>
      <w:numFmt w:val="bullet"/>
      <w:lvlText w:val="●"/>
      <w:lvlJc w:val="start"/>
      <w:pPr>
        <w:tabs>
          <w:tab w:val="num" w:pos="0"/>
        </w:tabs>
        <w:ind w:start="6381" w:hanging="360"/>
      </w:pPr>
      <w:rPr>
        <w:rFonts w:ascii="Noto Sans Symbols" w:hAnsi="Noto Sans Symbols" w:cs="Noto Sans Symbols" w:hint="default"/>
      </w:rPr>
    </w:lvl>
    <w:lvl w:ilvl="7">
      <w:start w:val="1"/>
      <w:numFmt w:val="bullet"/>
      <w:lvlText w:val="o"/>
      <w:lvlJc w:val="start"/>
      <w:pPr>
        <w:tabs>
          <w:tab w:val="num" w:pos="0"/>
        </w:tabs>
        <w:ind w:start="7101" w:hanging="360"/>
      </w:pPr>
      <w:rPr>
        <w:rFonts w:ascii="Courier New" w:hAnsi="Courier New" w:cs="Courier New" w:hint="default"/>
      </w:rPr>
    </w:lvl>
    <w:lvl w:ilvl="8">
      <w:start w:val="1"/>
      <w:numFmt w:val="bullet"/>
      <w:lvlText w:val="▪"/>
      <w:lvlJc w:val="start"/>
      <w:pPr>
        <w:tabs>
          <w:tab w:val="num" w:pos="0"/>
        </w:tabs>
        <w:ind w:start="7821" w:hanging="360"/>
      </w:pPr>
      <w:rPr>
        <w:rFonts w:ascii="Noto Sans Symbols" w:hAnsi="Noto Sans Symbols" w:cs="Noto Sans Symbols"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eastAsia="ru-RU" w:val="uk-UA" w:bidi="ar-SA"/>
    </w:rPr>
  </w:style>
  <w:style w:type="paragraph" w:styleId="Heading1">
    <w:name w:val="heading 1"/>
    <w:basedOn w:val="Normal"/>
    <w:next w:val="Normal"/>
    <w:qFormat/>
    <w:rsid w:val="00a0742f"/>
    <w:pPr>
      <w:keepNext w:val="true"/>
      <w:spacing w:before="240" w:after="0"/>
      <w:ind w:start="567"/>
      <w:outlineLvl w:val="0"/>
    </w:pPr>
    <w:rPr>
      <w:b/>
      <w:smallCaps/>
    </w:rPr>
  </w:style>
  <w:style w:type="paragraph" w:styleId="Heading2">
    <w:name w:val="heading 2"/>
    <w:basedOn w:val="Normal"/>
    <w:next w:val="Normal"/>
    <w:qFormat/>
    <w:rsid w:val="00a0742f"/>
    <w:pPr>
      <w:keepNext w:val="true"/>
      <w:spacing w:before="120" w:after="0"/>
      <w:ind w:start="567"/>
      <w:outlineLvl w:val="1"/>
    </w:pPr>
    <w:rPr>
      <w:b/>
    </w:rPr>
  </w:style>
  <w:style w:type="paragraph" w:styleId="Heading3">
    <w:name w:val="heading 3"/>
    <w:basedOn w:val="Normal"/>
    <w:next w:val="Normal"/>
    <w:link w:val="31"/>
    <w:qFormat/>
    <w:rsid w:val="00a0742f"/>
    <w:pPr>
      <w:keepNext w:val="true"/>
      <w:spacing w:before="120" w:after="0"/>
      <w:ind w:start="567"/>
      <w:outlineLvl w:val="2"/>
    </w:pPr>
    <w:rPr>
      <w:b/>
      <w:i/>
    </w:rPr>
  </w:style>
  <w:style w:type="paragraph" w:styleId="Heading4">
    <w:name w:val="heading 4"/>
    <w:basedOn w:val="Normal"/>
    <w:next w:val="Normal"/>
    <w:qFormat/>
    <w:rsid w:val="00a0742f"/>
    <w:pPr>
      <w:keepNext w:val="true"/>
      <w:spacing w:before="120" w:after="0"/>
      <w:ind w:star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557158"/>
    <w:rPr/>
  </w:style>
  <w:style w:type="character" w:styleId="Hyperlink">
    <w:name w:val="Hyperlink"/>
    <w:rsid w:val="001419e7"/>
    <w:rPr>
      <w:color w:val="000080"/>
      <w:u w:val="single"/>
    </w:rPr>
  </w:style>
  <w:style w:type="character" w:styleId="csfdf54dc3" w:customStyle="1">
    <w:name w:val="csfdf54dc3"/>
    <w:basedOn w:val="DefaultParagraphFont"/>
    <w:qFormat/>
    <w:rsid w:val="001419e7"/>
    <w:rPr/>
  </w:style>
  <w:style w:type="character" w:styleId="cs23fb0664" w:customStyle="1">
    <w:name w:val="cs23fb0664"/>
    <w:basedOn w:val="DefaultParagraphFont"/>
    <w:qFormat/>
    <w:rsid w:val="001419e7"/>
    <w:rPr/>
  </w:style>
  <w:style w:type="character" w:styleId="cse6c83c5f" w:customStyle="1">
    <w:name w:val="cse6c83c5f"/>
    <w:basedOn w:val="DefaultParagraphFont"/>
    <w:qFormat/>
    <w:rsid w:val="001419e7"/>
    <w:rPr/>
  </w:style>
  <w:style w:type="character" w:styleId="rvts0" w:customStyle="1">
    <w:name w:val="rvts0"/>
    <w:qFormat/>
    <w:rsid w:val="001419e7"/>
    <w:rPr>
      <w:rFonts w:cs="Times New Roman"/>
    </w:rPr>
  </w:style>
  <w:style w:type="character" w:styleId="Style13" w:customStyle="1">
    <w:name w:val="Подзаголовок Знак"/>
    <w:basedOn w:val="DefaultParagraphFont"/>
    <w:qFormat/>
    <w:rsid w:val="001419e7"/>
    <w:rPr>
      <w:b/>
      <w:sz w:val="28"/>
    </w:rPr>
  </w:style>
  <w:style w:type="character" w:styleId="InternetLink1" w:customStyle="1">
    <w:name w:val="Internet Link1"/>
    <w:qFormat/>
    <w:rsid w:val="001419e7"/>
    <w:rPr>
      <w:color w:val="0000FF"/>
      <w:u w:val="single"/>
    </w:rPr>
  </w:style>
  <w:style w:type="character" w:styleId="Style14" w:customStyle="1">
    <w:name w:val="Основной текст_"/>
    <w:qFormat/>
    <w:rPr>
      <w:sz w:val="24"/>
      <w:lang w:val="ru-RU" w:eastAsia="zh-CN"/>
    </w:rPr>
  </w:style>
  <w:style w:type="character" w:styleId="31" w:customStyle="1">
    <w:name w:val="Заголовок 3 Знак"/>
    <w:basedOn w:val="DefaultParagraphFont"/>
    <w:qFormat/>
    <w:rsid w:val="00151944"/>
    <w:rPr>
      <w:b/>
      <w:i/>
      <w:sz w:val="28"/>
      <w:lang w:eastAsia="ru-RU"/>
    </w:rPr>
  </w:style>
  <w:style w:type="paragraph" w:styleId="Style15" w:customStyle="1">
    <w:name w:val="Заголовок"/>
    <w:basedOn w:val="Normal"/>
    <w:next w:val="BodyText"/>
    <w:qFormat/>
    <w:rsid w:val="001419e7"/>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1419e7"/>
    <w:pPr/>
    <w:rPr>
      <w:rFonts w:cs="Lucida Sans"/>
    </w:rPr>
  </w:style>
  <w:style w:type="paragraph" w:styleId="Caption">
    <w:name w:val="caption"/>
    <w:basedOn w:val="Normal"/>
    <w:qFormat/>
    <w:rsid w:val="001419e7"/>
    <w:pPr>
      <w:suppressLineNumbers/>
      <w:spacing w:before="120" w:after="120"/>
    </w:pPr>
    <w:rPr>
      <w:rFonts w:cs="Lucida Sans"/>
      <w:i/>
      <w:iCs/>
      <w:sz w:val="24"/>
      <w:szCs w:val="24"/>
    </w:rPr>
  </w:style>
  <w:style w:type="paragraph" w:styleId="Style16" w:customStyle="1">
    <w:name w:val="Покажчик"/>
    <w:basedOn w:val="Normal"/>
    <w:qFormat/>
    <w:rsid w:val="001419e7"/>
    <w:pPr>
      <w:suppressLineNumbers/>
    </w:pPr>
    <w:rPr>
      <w:rFonts w:cs="Lucida Sans"/>
    </w:rPr>
  </w:style>
  <w:style w:type="paragraph" w:styleId="user" w:customStyle="1">
    <w:name w:val="Заголовок (user)"/>
    <w:basedOn w:val="Normal"/>
    <w:next w:val="BodyText"/>
    <w:qFormat/>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pPr>
      <w:suppressLineNumbers/>
    </w:pPr>
    <w:rPr>
      <w:rFonts w:cs="Lucida Sans"/>
    </w:rPr>
  </w:style>
  <w:style w:type="paragraph" w:styleId="user2" w:customStyle="1">
    <w:name w:val="Верхній і нижній колонтитули (user)"/>
    <w:basedOn w:val="Normal"/>
    <w:qFormat/>
    <w:rsid w:val="001419e7"/>
    <w:pPr/>
    <w:rPr/>
  </w:style>
  <w:style w:type="paragraph" w:styleId="Style17" w:customStyle="1">
    <w:name w:val="Верхній і нижній колонтитули"/>
    <w:basedOn w:val="Normal"/>
    <w:qFormat/>
    <w:pPr/>
    <w:rPr/>
  </w:style>
  <w:style w:type="paragraph" w:styleId="Footer">
    <w:name w:val="footer"/>
    <w:basedOn w:val="Normal"/>
    <w:rsid w:val="00a0742f"/>
    <w:pPr>
      <w:tabs>
        <w:tab w:val="clear" w:pos="720"/>
        <w:tab w:val="center" w:pos="4153" w:leader="none"/>
        <w:tab w:val="right" w:pos="8306" w:leader="none"/>
      </w:tabs>
    </w:pPr>
    <w:rPr/>
  </w:style>
  <w:style w:type="paragraph" w:styleId="Style18" w:customStyle="1">
    <w:name w:val="Нормальний текст"/>
    <w:basedOn w:val="Normal"/>
    <w:qFormat/>
    <w:rsid w:val="00a0742f"/>
    <w:pPr>
      <w:spacing w:before="120" w:after="0"/>
      <w:ind w:firstLine="567"/>
    </w:pPr>
    <w:rPr/>
  </w:style>
  <w:style w:type="paragraph" w:styleId="Style19" w:customStyle="1">
    <w:name w:val="Шапка документу"/>
    <w:basedOn w:val="Normal"/>
    <w:qFormat/>
    <w:rsid w:val="00a0742f"/>
    <w:pPr>
      <w:keepNext w:val="true"/>
      <w:keepLines/>
      <w:spacing w:before="0" w:after="240"/>
      <w:ind w:star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1"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0" w:customStyle="1">
    <w:name w:val="Глава документу"/>
    <w:basedOn w:val="Normal"/>
    <w:next w:val="Normal"/>
    <w:qFormat/>
    <w:rsid w:val="00a0742f"/>
    <w:pPr>
      <w:keepNext w:val="true"/>
      <w:keepLines/>
      <w:spacing w:before="120" w:after="120"/>
      <w:jc w:val="center"/>
    </w:pPr>
    <w:rPr/>
  </w:style>
  <w:style w:type="paragraph" w:styleId="Style21" w:customStyle="1">
    <w:name w:val="Герб"/>
    <w:basedOn w:val="Normal"/>
    <w:qFormat/>
    <w:rsid w:val="00a0742f"/>
    <w:pPr>
      <w:keepNext w:val="true"/>
      <w:keepLines/>
      <w:jc w:val="center"/>
    </w:pPr>
    <w:rPr>
      <w:sz w:val="144"/>
      <w:lang w:val="en-US"/>
    </w:rPr>
  </w:style>
  <w:style w:type="paragraph" w:styleId="Style22" w:customStyle="1">
    <w:name w:val="Установа"/>
    <w:basedOn w:val="Normal"/>
    <w:qFormat/>
    <w:rsid w:val="00a0742f"/>
    <w:pPr>
      <w:keepNext w:val="true"/>
      <w:keepLines/>
      <w:spacing w:before="120" w:after="0"/>
      <w:jc w:val="center"/>
    </w:pPr>
    <w:rPr>
      <w:b/>
      <w:sz w:val="40"/>
    </w:rPr>
  </w:style>
  <w:style w:type="paragraph" w:styleId="Style23" w:customStyle="1">
    <w:name w:val="Вид документа"/>
    <w:basedOn w:val="Style22"/>
    <w:next w:val="Normal"/>
    <w:qFormat/>
    <w:rsid w:val="00a0742f"/>
    <w:pPr>
      <w:spacing w:before="360" w:after="240"/>
    </w:pPr>
    <w:rPr>
      <w:spacing w:val="20"/>
      <w:sz w:val="26"/>
    </w:rPr>
  </w:style>
  <w:style w:type="paragraph" w:styleId="Style24" w:customStyle="1">
    <w:name w:val="Час та місце"/>
    <w:basedOn w:val="Normal"/>
    <w:qFormat/>
    <w:rsid w:val="00a0742f"/>
    <w:pPr>
      <w:keepNext w:val="true"/>
      <w:keepLines/>
      <w:spacing w:before="120" w:after="240"/>
      <w:jc w:val="center"/>
    </w:pPr>
    <w:rPr/>
  </w:style>
  <w:style w:type="paragraph" w:styleId="Style25" w:customStyle="1">
    <w:name w:val="Назва документа"/>
    <w:basedOn w:val="Normal"/>
    <w:next w:val="Style18"/>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start="3969"/>
      <w:jc w:val="center"/>
    </w:pPr>
    <w:rPr/>
  </w:style>
  <w:style w:type="paragraph" w:styleId="Default" w:customStyle="1">
    <w:name w:val="Default"/>
    <w:qFormat/>
    <w:rsid w:val="00131b14"/>
    <w:pPr>
      <w:widowControl/>
      <w:suppressAutoHyphens w:val="true"/>
      <w:bidi w:val="0"/>
      <w:spacing w:before="0" w:after="0"/>
      <w:jc w:val="star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start"/>
    </w:pPr>
    <w:rPr>
      <w:sz w:val="24"/>
      <w:szCs w:val="24"/>
    </w:rPr>
  </w:style>
  <w:style w:type="paragraph" w:styleId="NormalWeb">
    <w:name w:val="Normal (Web)"/>
    <w:basedOn w:val="Normal"/>
    <w:qFormat/>
    <w:rsid w:val="00d44706"/>
    <w:pPr>
      <w:spacing w:lineRule="auto" w:line="240" w:beforeAutospacing="1" w:afterAutospacing="1"/>
      <w:ind w:hanging="0"/>
      <w:jc w:val="star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start="283"/>
      <w:jc w:val="star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start"/>
    </w:pPr>
    <w:rPr>
      <w:sz w:val="24"/>
      <w:szCs w:val="24"/>
      <w:lang w:val="ru-RU"/>
    </w:rPr>
  </w:style>
  <w:style w:type="paragraph" w:styleId="ListParagraph">
    <w:name w:val="List Paragraph"/>
    <w:basedOn w:val="Normal"/>
    <w:uiPriority w:val="34"/>
    <w:qFormat/>
    <w:rsid w:val="00df07ff"/>
    <w:pPr>
      <w:spacing w:before="0" w:after="0"/>
      <w:ind w:star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start"/>
    </w:pPr>
    <w:rPr>
      <w:rFonts w:ascii="Courier New" w:hAnsi="Courier New"/>
      <w:spacing w:val="2"/>
      <w:sz w:val="17"/>
    </w:rPr>
  </w:style>
  <w:style w:type="paragraph" w:styleId="cs7c5251be" w:customStyle="1">
    <w:name w:val="cs7c5251be"/>
    <w:basedOn w:val="Normal"/>
    <w:qFormat/>
    <w:rsid w:val="00557158"/>
    <w:pPr>
      <w:spacing w:lineRule="auto" w:line="240" w:beforeAutospacing="1" w:afterAutospacing="1"/>
      <w:ind w:hanging="0"/>
      <w:jc w:val="start"/>
    </w:pPr>
    <w:rPr>
      <w:sz w:val="24"/>
      <w:szCs w:val="24"/>
      <w:lang w:eastAsia="uk-UA"/>
    </w:rPr>
  </w:style>
  <w:style w:type="paragraph" w:styleId="Style26" w:customStyle="1">
    <w:name w:val="Вміст рамки"/>
    <w:basedOn w:val="Normal"/>
    <w:qFormat/>
    <w:rsid w:val="001419e7"/>
    <w:pPr/>
    <w:rPr/>
  </w:style>
  <w:style w:type="paragraph" w:styleId="csd270a1e4" w:customStyle="1">
    <w:name w:val="csd270a1e4"/>
    <w:basedOn w:val="Normal"/>
    <w:qFormat/>
    <w:rsid w:val="001419e7"/>
    <w:pPr>
      <w:spacing w:lineRule="auto" w:line="240" w:before="280" w:after="280"/>
      <w:ind w:hanging="0"/>
      <w:jc w:val="start"/>
    </w:pPr>
    <w:rPr>
      <w:sz w:val="24"/>
      <w:szCs w:val="24"/>
      <w:lang w:eastAsia="uk-UA"/>
    </w:rPr>
  </w:style>
  <w:style w:type="paragraph" w:styleId="csd270a203" w:customStyle="1">
    <w:name w:val="csd270a203"/>
    <w:basedOn w:val="Normal"/>
    <w:qFormat/>
    <w:rsid w:val="001419e7"/>
    <w:pPr>
      <w:spacing w:lineRule="auto" w:line="240" w:before="280" w:after="280"/>
      <w:ind w:hanging="0"/>
      <w:jc w:val="start"/>
    </w:pPr>
    <w:rPr>
      <w:sz w:val="24"/>
      <w:szCs w:val="24"/>
      <w:lang w:eastAsia="uk-UA"/>
    </w:rPr>
  </w:style>
  <w:style w:type="paragraph" w:styleId="cs66e64e55" w:customStyle="1">
    <w:name w:val="cs66e64e55"/>
    <w:basedOn w:val="Normal"/>
    <w:qFormat/>
    <w:rsid w:val="001419e7"/>
    <w:pPr>
      <w:spacing w:lineRule="auto" w:line="240" w:before="280" w:after="280"/>
      <w:ind w:hanging="0"/>
      <w:jc w:val="start"/>
    </w:pPr>
    <w:rPr>
      <w:sz w:val="24"/>
      <w:szCs w:val="24"/>
      <w:lang w:val="ru-RU"/>
    </w:rPr>
  </w:style>
  <w:style w:type="paragraph" w:styleId="cse2a94784" w:customStyle="1">
    <w:name w:val="cse2a94784"/>
    <w:basedOn w:val="Normal"/>
    <w:qFormat/>
    <w:rsid w:val="001419e7"/>
    <w:pPr>
      <w:spacing w:lineRule="auto" w:line="240" w:before="280" w:after="280"/>
      <w:ind w:hanging="0"/>
      <w:jc w:val="start"/>
    </w:pPr>
    <w:rPr>
      <w:sz w:val="24"/>
      <w:szCs w:val="24"/>
      <w:lang w:val="ru-RU"/>
    </w:rPr>
  </w:style>
  <w:style w:type="paragraph" w:styleId="csfb0aa375" w:customStyle="1">
    <w:name w:val="csfb0aa375"/>
    <w:basedOn w:val="Normal"/>
    <w:qFormat/>
    <w:rsid w:val="001419e7"/>
    <w:pPr>
      <w:spacing w:lineRule="auto" w:line="240" w:before="280" w:after="280"/>
      <w:ind w:hanging="0"/>
      <w:jc w:val="start"/>
    </w:pPr>
    <w:rPr>
      <w:sz w:val="24"/>
      <w:szCs w:val="24"/>
      <w:lang w:val="ru-RU"/>
    </w:rPr>
  </w:style>
  <w:style w:type="paragraph" w:styleId="Subtitle">
    <w:name w:val="Subtitle"/>
    <w:basedOn w:val="Normal"/>
    <w:qFormat/>
    <w:rsid w:val="001419e7"/>
    <w:pPr>
      <w:spacing w:lineRule="auto" w:line="240"/>
      <w:ind w:hanging="0"/>
      <w:jc w:val="center"/>
    </w:pPr>
    <w:rPr>
      <w:b/>
    </w:rPr>
  </w:style>
  <w:style w:type="paragraph" w:styleId="user3" w:customStyle="1">
    <w:name w:val="Вміст рамки (user)"/>
    <w:basedOn w:val="Normal"/>
    <w:qFormat/>
    <w:pPr/>
    <w:rPr/>
  </w:style>
  <w:style w:type="numbering" w:styleId="Style27" w:customStyle="1">
    <w:name w:val="Без маркерів"/>
    <w:uiPriority w:val="99"/>
    <w:semiHidden/>
    <w:unhideWhenUsed/>
    <w:qFormat/>
    <w:rsid w:val="001419e7"/>
  </w:style>
  <w:style w:type="numbering" w:styleId="user4" w:customStyle="1">
    <w:name w:val="Без маркерів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nau://ukr/80/94-&#1042;&#1056;/"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485DB-CA68-45E3-A39F-E54BAF034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LibreOffice/26.2.0.3$Windows_X86_64 LibreOffice_project/620$Build-3</Application>
  <AppVersion>15.0000</AppVersion>
  <Pages>4</Pages>
  <Words>685</Words>
  <Characters>5035</Characters>
  <CharactersWithSpaces>5629</CharactersWithSpaces>
  <Paragraphs>77</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2026-08-05T11:51:00Z</dcterms:created>
  <dc:creator>1-1</dc:creator>
  <dc:description/>
  <dc:language>uk-UA</dc:language>
  <cp:lastModifiedBy/>
  <cp:lastPrinted>2020-07-03T07:18:00Z</cp:lastPrinted>
  <dcterms:modified xsi:type="dcterms:W3CDTF">2026-08-17T14:38:37Z</dcterms:modified>
  <cp:revision>8</cp:revision>
  <dc:subject/>
  <dc:title>£</dc:title>
</cp:coreProperties>
</file>

<file path=docProps/custom.xml><?xml version="1.0" encoding="utf-8"?>
<Properties xmlns="http://schemas.openxmlformats.org/officeDocument/2006/custom-properties" xmlns:vt="http://schemas.openxmlformats.org/officeDocument/2006/docPropsVTypes"/>
</file>