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jc w:val="center"/>
        <w:rPr>
          <w:bCs/>
          <w:szCs w:val="28"/>
        </w:rPr>
      </w:pPr>
      <w:r>
        <w:rPr>
          <w:bCs/>
          <w:szCs w:val="28"/>
          <w:lang w:val="uk-UA"/>
        </w:rPr>
        <w:t>Умови</w:t>
      </w:r>
    </w:p>
    <w:p>
      <w:pPr>
        <w:pStyle w:val="Normal"/>
        <w:ind w:hanging="0"/>
        <w:jc w:val="center"/>
        <w:rPr>
          <w:bCs/>
          <w:szCs w:val="28"/>
        </w:rPr>
      </w:pPr>
      <w:r>
        <w:rPr>
          <w:bCs/>
          <w:szCs w:val="28"/>
        </w:rPr>
        <w:t xml:space="preserve"> </w:t>
      </w:r>
      <w:r>
        <w:rPr>
          <w:bCs/>
          <w:szCs w:val="28"/>
        </w:rPr>
        <w:t>проведення добору</w:t>
      </w:r>
    </w:p>
    <w:p>
      <w:pPr>
        <w:pStyle w:val="Normal"/>
        <w:ind w:hanging="0"/>
        <w:jc w:val="center"/>
        <w:rPr>
          <w:szCs w:val="28"/>
        </w:rPr>
      </w:pPr>
      <w:r>
        <w:rPr>
          <w:bCs/>
          <w:szCs w:val="28"/>
        </w:rPr>
        <w:t>на зайняття посад державної служби категорії «Б» -</w:t>
      </w:r>
      <w:r>
        <w:rPr>
          <w:rFonts w:eastAsia="Arial Unicode MS"/>
        </w:rPr>
        <w:t xml:space="preserve"> </w:t>
      </w:r>
      <w:r>
        <w:rPr>
          <w:rFonts w:eastAsia="Arial Unicode MS"/>
          <w:szCs w:val="28"/>
        </w:rPr>
        <w:t>начальника відділу підготовки і супроводу розгляду скарг управління адміністративного оскарження</w:t>
      </w:r>
    </w:p>
    <w:p>
      <w:pPr>
        <w:pStyle w:val="Normal"/>
        <w:spacing w:lineRule="auto" w:line="240"/>
        <w:ind w:hanging="0"/>
        <w:jc w:val="center"/>
        <w:rPr/>
      </w:pPr>
      <w:r>
        <w:rPr>
          <w:rStyle w:val="csd2c743de"/>
        </w:rPr>
        <w:t xml:space="preserve"> </w:t>
      </w:r>
      <w:r>
        <w:rPr>
          <w:rStyle w:val="csd2c743de"/>
        </w:rPr>
        <w:t>(вул. Бульварно-Кудрявська, 16)</w:t>
      </w:r>
    </w:p>
    <w:p>
      <w:pPr>
        <w:pStyle w:val="Normal"/>
        <w:ind w:hanging="0"/>
        <w:jc w:val="center"/>
        <w:rPr>
          <w:bCs/>
          <w:szCs w:val="28"/>
        </w:rPr>
      </w:pPr>
      <w:r>
        <w:rPr>
          <w:bCs/>
          <w:szCs w:val="28"/>
        </w:rPr>
      </w:r>
    </w:p>
    <w:tbl>
      <w:tblPr>
        <w:tblStyle w:val="afe"/>
        <w:tblW w:w="9452" w:type="dxa"/>
        <w:jc w:val="left"/>
        <w:tblInd w:w="267" w:type="dxa"/>
        <w:tblLayout w:type="fixed"/>
        <w:tblCellMar>
          <w:top w:w="0" w:type="dxa"/>
          <w:left w:w="108" w:type="dxa"/>
          <w:bottom w:w="0" w:type="dxa"/>
          <w:right w:w="108" w:type="dxa"/>
        </w:tblCellMar>
        <w:tblLook w:firstRow="1" w:noVBand="1" w:lastRow="0" w:firstColumn="1" w:lastColumn="0" w:noHBand="0" w:val="04a0"/>
      </w:tblPr>
      <w:tblGrid>
        <w:gridCol w:w="517"/>
        <w:gridCol w:w="2978"/>
        <w:gridCol w:w="23"/>
        <w:gridCol w:w="5934"/>
      </w:tblGrid>
      <w:tr>
        <w:trPr/>
        <w:tc>
          <w:tcPr>
            <w:tcW w:w="9452" w:type="dxa"/>
            <w:gridSpan w:val="4"/>
            <w:tcBorders/>
          </w:tcPr>
          <w:p>
            <w:pPr>
              <w:pStyle w:val="Normal"/>
              <w:widowControl/>
              <w:suppressAutoHyphens w:val="true"/>
              <w:spacing w:lineRule="auto" w:line="240" w:before="0" w:after="0"/>
              <w:ind w:firstLine="181"/>
              <w:jc w:val="center"/>
              <w:rPr>
                <w:b/>
                <w:bCs/>
              </w:rPr>
            </w:pPr>
            <w:r>
              <w:rPr>
                <w:rFonts w:eastAsia="Times New Roman" w:cs="Times New Roman"/>
                <w:b/>
                <w:bCs/>
                <w:kern w:val="0"/>
                <w:szCs w:val="24"/>
                <w:lang w:val="uk-UA" w:bidi="ar-SA"/>
              </w:rPr>
              <w:t>Загальні умови</w:t>
            </w:r>
          </w:p>
        </w:tc>
      </w:tr>
      <w:tr>
        <w:trPr>
          <w:trHeight w:val="840" w:hRule="atLeast"/>
        </w:trPr>
        <w:tc>
          <w:tcPr>
            <w:tcW w:w="3495"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Посадові обов’язки</w:t>
            </w:r>
          </w:p>
        </w:tc>
        <w:tc>
          <w:tcPr>
            <w:tcW w:w="5957" w:type="dxa"/>
            <w:gridSpan w:val="2"/>
            <w:tcBorders/>
          </w:tcPr>
          <w:p>
            <w:pPr>
              <w:pStyle w:val="Normal"/>
              <w:widowControl/>
              <w:suppressAutoHyphens w:val="true"/>
              <w:spacing w:lineRule="auto" w:line="240" w:before="0" w:after="0"/>
              <w:ind w:hanging="0"/>
              <w:rPr>
                <w:color w:val="000000"/>
              </w:rPr>
            </w:pPr>
            <w:r>
              <w:rPr>
                <w:rFonts w:eastAsia="Times New Roman" w:cs="Times New Roman"/>
                <w:kern w:val="0"/>
                <w:szCs w:val="20"/>
                <w:lang w:val="uk-UA" w:bidi="ar-SA"/>
              </w:rPr>
              <w:t xml:space="preserve">1. </w:t>
            </w:r>
            <w:r>
              <w:rPr>
                <w:rFonts w:eastAsia="Times New Roman" w:cs="Times New Roman"/>
                <w:color w:val="000000"/>
                <w:kern w:val="0"/>
                <w:szCs w:val="20"/>
                <w:lang w:val="uk-UA" w:bidi="ar-SA"/>
              </w:rPr>
              <w:t xml:space="preserve">Забезпечення організації роботи щодо підготовки та супроводу розгляду скарг </w:t>
            </w:r>
            <w:r>
              <w:rPr>
                <w:rFonts w:eastAsia="Times New Roman" w:cs="Times New Roman"/>
                <w:kern w:val="0"/>
                <w:szCs w:val="20"/>
                <w:lang w:val="uk-UA" w:bidi="ar-SA"/>
              </w:rPr>
              <w:t>у сфері адміністративного оскарження.</w:t>
            </w:r>
          </w:p>
          <w:p>
            <w:pPr>
              <w:pStyle w:val="Normal"/>
              <w:widowControl/>
              <w:suppressAutoHyphens w:val="true"/>
              <w:spacing w:lineRule="auto" w:line="240" w:before="0" w:after="0"/>
              <w:ind w:hanging="0"/>
              <w:rPr>
                <w:rFonts w:ascii="Times New Roman" w:hAnsi="Times New Roman" w:eastAsia="Times New Roman" w:cs="Times New Roman"/>
                <w:kern w:val="0"/>
                <w:szCs w:val="20"/>
                <w:lang w:val="uk-UA" w:bidi="ar-SA"/>
              </w:rPr>
            </w:pPr>
            <w:r>
              <w:rPr>
                <w:rFonts w:eastAsia="Times New Roman" w:cs="Times New Roman"/>
                <w:color w:val="000000"/>
                <w:kern w:val="0"/>
                <w:szCs w:val="20"/>
                <w:lang w:val="uk-UA" w:bidi="ar-SA"/>
              </w:rPr>
              <w:t>2. Забезпечення своєчасного, повного та об’єктивного розгляду скарг відповідно до вимог чинного законодавства.</w:t>
            </w:r>
          </w:p>
          <w:p>
            <w:pPr>
              <w:pStyle w:val="Normal"/>
              <w:widowControl/>
              <w:suppressAutoHyphens w:val="true"/>
              <w:spacing w:lineRule="auto" w:line="240" w:before="0" w:after="0"/>
              <w:ind w:hanging="0"/>
              <w:rPr>
                <w:color w:val="000000"/>
              </w:rPr>
            </w:pPr>
            <w:r>
              <w:rPr>
                <w:rFonts w:eastAsia="Times New Roman" w:cs="Times New Roman"/>
                <w:color w:val="000000"/>
                <w:kern w:val="0"/>
                <w:szCs w:val="20"/>
                <w:lang w:val="uk-UA" w:bidi="ar-SA"/>
              </w:rPr>
              <w:t>3. Організація підготовки проєктів рішень за результатами розгляду скарг.</w:t>
            </w:r>
          </w:p>
          <w:p>
            <w:pPr>
              <w:pStyle w:val="Normal"/>
              <w:widowControl/>
              <w:suppressAutoHyphens w:val="true"/>
              <w:spacing w:lineRule="auto" w:line="240" w:before="0" w:after="0"/>
              <w:ind w:hanging="0"/>
              <w:rPr>
                <w:color w:val="000000"/>
              </w:rPr>
            </w:pPr>
            <w:r>
              <w:rPr>
                <w:rFonts w:eastAsia="Times New Roman" w:cs="Times New Roman"/>
                <w:kern w:val="0"/>
                <w:szCs w:val="28"/>
                <w:lang w:val="uk-UA" w:bidi="ar-SA"/>
              </w:rPr>
              <w:t xml:space="preserve">4. </w:t>
            </w:r>
            <w:r>
              <w:rPr>
                <w:rFonts w:eastAsia="Times New Roman" w:cs="Times New Roman"/>
                <w:color w:val="000000"/>
                <w:kern w:val="0"/>
                <w:szCs w:val="20"/>
                <w:lang w:val="uk-UA" w:bidi="ar-SA"/>
              </w:rPr>
              <w:t>Здійснення контролю за дотриманням строків розгляду скарг.</w:t>
            </w:r>
          </w:p>
          <w:p>
            <w:pPr>
              <w:pStyle w:val="Normal"/>
              <w:widowControl/>
              <w:suppressAutoHyphens w:val="true"/>
              <w:spacing w:lineRule="auto" w:line="240" w:before="0" w:after="0"/>
              <w:ind w:hanging="0"/>
              <w:rPr>
                <w:color w:val="000000"/>
              </w:rPr>
            </w:pPr>
            <w:r>
              <w:rPr>
                <w:rFonts w:eastAsia="Times New Roman" w:cs="Times New Roman"/>
                <w:color w:val="000000"/>
                <w:kern w:val="0"/>
                <w:szCs w:val="20"/>
                <w:lang w:val="uk-UA" w:bidi="ar-SA"/>
              </w:rPr>
              <w:t>5</w:t>
            </w:r>
            <w:r>
              <w:rPr>
                <w:rFonts w:eastAsia="Times New Roman" w:cs="Times New Roman"/>
                <w:color w:val="000000"/>
                <w:kern w:val="0"/>
                <w:szCs w:val="28"/>
                <w:lang w:val="uk-UA" w:bidi="ar-SA"/>
              </w:rPr>
              <w:t xml:space="preserve">. </w:t>
            </w:r>
            <w:r>
              <w:rPr>
                <w:rFonts w:eastAsia="Times New Roman" w:cs="Times New Roman"/>
                <w:color w:val="000000"/>
                <w:kern w:val="0"/>
                <w:szCs w:val="20"/>
                <w:lang w:val="uk-UA" w:bidi="ar-SA"/>
              </w:rPr>
              <w:t>Здійснення аналізу практики розгляду скарг у порядку адміністративного оскарження та удосконалення.</w:t>
            </w:r>
          </w:p>
          <w:p>
            <w:pPr>
              <w:pStyle w:val="Normal"/>
              <w:widowControl/>
              <w:suppressAutoHyphens w:val="true"/>
              <w:spacing w:lineRule="auto" w:line="240" w:before="0" w:after="0"/>
              <w:ind w:hanging="0"/>
              <w:rPr>
                <w:rFonts w:ascii="Times New Roman" w:hAnsi="Times New Roman" w:eastAsia="Times New Roman" w:cs="Times New Roman"/>
                <w:kern w:val="0"/>
                <w:szCs w:val="20"/>
                <w:lang w:val="uk-UA" w:bidi="ar-SA"/>
              </w:rPr>
            </w:pPr>
            <w:r>
              <w:rPr>
                <w:rFonts w:eastAsia="Times New Roman" w:cs="Times New Roman"/>
                <w:color w:val="000000"/>
                <w:kern w:val="0"/>
                <w:szCs w:val="28"/>
                <w:lang w:val="uk-UA" w:bidi="ar-SA"/>
              </w:rPr>
              <w:t xml:space="preserve">6. </w:t>
            </w:r>
            <w:r>
              <w:rPr>
                <w:rFonts w:eastAsia="Times New Roman" w:cs="Times New Roman"/>
                <w:kern w:val="0"/>
                <w:szCs w:val="20"/>
                <w:lang w:val="uk-UA" w:bidi="ar-SA"/>
              </w:rPr>
              <w:t>Координація взаємодії відділу з іншими структурними підрозділами.</w:t>
            </w:r>
          </w:p>
          <w:p>
            <w:pPr>
              <w:pStyle w:val="Normal"/>
              <w:widowControl/>
              <w:suppressAutoHyphens w:val="true"/>
              <w:spacing w:lineRule="auto" w:line="240" w:before="0" w:after="0"/>
              <w:ind w:hanging="0"/>
              <w:rPr>
                <w:rFonts w:ascii="Times New Roman" w:hAnsi="Times New Roman" w:eastAsia="Times New Roman" w:cs="Times New Roman"/>
                <w:kern w:val="0"/>
                <w:szCs w:val="20"/>
                <w:lang w:val="uk-UA" w:bidi="ar-SA"/>
              </w:rPr>
            </w:pPr>
            <w:r>
              <w:rPr>
                <w:rFonts w:eastAsia="Times New Roman" w:cs="Times New Roman"/>
                <w:color w:val="000000"/>
                <w:spacing w:val="3"/>
                <w:kern w:val="0"/>
                <w:szCs w:val="20"/>
                <w:shd w:fill="FFFFFF" w:val="clear"/>
                <w:lang w:val="uk-UA" w:eastAsia="uk-UA" w:bidi="ar-SA"/>
              </w:rPr>
              <w:t xml:space="preserve">7. </w:t>
            </w:r>
            <w:r>
              <w:rPr>
                <w:rFonts w:eastAsia="Times New Roman" w:cs="Times New Roman"/>
                <w:kern w:val="0"/>
                <w:szCs w:val="20"/>
                <w:lang w:val="uk-UA" w:bidi="ar-SA"/>
              </w:rPr>
              <w:t>Організація роботи щодо підвищення професійного рівня працівників відділу.</w:t>
            </w:r>
          </w:p>
        </w:tc>
      </w:tr>
      <w:tr>
        <w:trPr/>
        <w:tc>
          <w:tcPr>
            <w:tcW w:w="3495"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Умови оплати праці</w:t>
            </w:r>
          </w:p>
        </w:tc>
        <w:tc>
          <w:tcPr>
            <w:tcW w:w="5957" w:type="dxa"/>
            <w:gridSpan w:val="2"/>
            <w:tcBorders/>
            <w:vAlign w:val="center"/>
          </w:tcPr>
          <w:p>
            <w:pPr>
              <w:pStyle w:val="Normal"/>
              <w:widowControl/>
              <w:suppressAutoHyphens w:val="true"/>
              <w:spacing w:lineRule="auto" w:line="240" w:before="0" w:after="0"/>
              <w:ind w:hanging="0"/>
              <w:rPr>
                <w:bCs/>
                <w:szCs w:val="28"/>
              </w:rPr>
            </w:pPr>
            <w:r>
              <w:rPr>
                <w:rFonts w:eastAsia="Times New Roman" w:cs="Times New Roman"/>
                <w:bCs/>
                <w:kern w:val="0"/>
                <w:szCs w:val="28"/>
                <w:lang w:val="uk-UA" w:bidi="ar-SA"/>
              </w:rPr>
              <w:t xml:space="preserve">Посадовий оклад – </w:t>
            </w:r>
            <w:r>
              <w:rPr>
                <w:rFonts w:eastAsia="Times New Roman" w:cs="Times New Roman"/>
                <w:kern w:val="0"/>
                <w:szCs w:val="28"/>
                <w:lang w:val="uk-UA" w:bidi="ar-SA"/>
              </w:rPr>
              <w:t xml:space="preserve">27 034 </w:t>
            </w:r>
            <w:r>
              <w:rPr>
                <w:rStyle w:val="csd2c743de"/>
                <w:rFonts w:eastAsia="Times New Roman" w:cs="Times New Roman"/>
                <w:kern w:val="0"/>
                <w:szCs w:val="28"/>
                <w:lang w:val="uk-UA" w:bidi="ar-SA"/>
              </w:rPr>
              <w:t>грн.</w:t>
            </w:r>
            <w:r>
              <w:rPr>
                <w:rStyle w:val="csd2c743de"/>
                <w:rFonts w:eastAsia="Times New Roman" w:cs="Times New Roman"/>
                <w:b/>
                <w:bCs/>
                <w:color w:val="FF0000"/>
                <w:kern w:val="0"/>
                <w:szCs w:val="28"/>
                <w:lang w:val="uk-UA" w:bidi="ar-SA"/>
              </w:rPr>
              <w:t xml:space="preserve"> </w:t>
            </w:r>
            <w:r>
              <w:rPr>
                <w:rStyle w:val="csd2c743de"/>
                <w:rFonts w:eastAsia="Times New Roman" w:cs="Times New Roman"/>
                <w:bCs/>
                <w:color w:val="000000"/>
                <w:kern w:val="0"/>
                <w:szCs w:val="28"/>
                <w:lang w:val="uk-UA" w:bidi="ar-SA"/>
              </w:rPr>
              <w:t>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Normal"/>
              <w:widowControl/>
              <w:suppressAutoHyphens w:val="true"/>
              <w:spacing w:lineRule="auto" w:line="240" w:before="0" w:after="0"/>
              <w:ind w:hanging="0"/>
              <w:rPr>
                <w:bCs/>
                <w:szCs w:val="24"/>
              </w:rPr>
            </w:pPr>
            <w:r>
              <w:rPr>
                <w:rStyle w:val="csd2c743de"/>
                <w:rFonts w:eastAsia="Times New Roman" w:cs="Times New Roman"/>
                <w:bCs/>
                <w:color w:val="000000"/>
                <w:kern w:val="0"/>
                <w:szCs w:val="28"/>
                <w:lang w:val="uk-UA" w:bidi="ar-SA"/>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2415" w:hRule="atLeast"/>
        </w:trPr>
        <w:tc>
          <w:tcPr>
            <w:tcW w:w="3495"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Інформація про строковість</w:t>
            </w:r>
          </w:p>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чи безстроковість</w:t>
            </w:r>
          </w:p>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призначення на посаду</w:t>
            </w:r>
          </w:p>
        </w:tc>
        <w:tc>
          <w:tcPr>
            <w:tcW w:w="5957" w:type="dxa"/>
            <w:gridSpan w:val="2"/>
            <w:tcBorders/>
          </w:tcPr>
          <w:p>
            <w:pPr>
              <w:pStyle w:val="Style17"/>
              <w:widowControl/>
              <w:suppressAutoHyphens w:val="true"/>
              <w:spacing w:lineRule="auto" w:line="240" w:before="0" w:after="0"/>
              <w:ind w:hanging="0"/>
              <w:rPr>
                <w:bCs/>
                <w:szCs w:val="28"/>
              </w:rPr>
            </w:pPr>
            <w:r>
              <w:rPr>
                <w:rFonts w:eastAsia="Times New Roman" w:cs="Times New Roman"/>
                <w:kern w:val="0"/>
                <w:szCs w:val="28"/>
                <w:lang w:val="uk-UA" w:bidi="ar-SA"/>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rHeight w:val="1782" w:hRule="atLeast"/>
        </w:trPr>
        <w:tc>
          <w:tcPr>
            <w:tcW w:w="9452" w:type="dxa"/>
            <w:gridSpan w:val="4"/>
            <w:tcBorders/>
          </w:tcPr>
          <w:p>
            <w:pPr>
              <w:pStyle w:val="Default"/>
              <w:widowControl/>
              <w:suppressAutoHyphens w:val="true"/>
              <w:spacing w:before="0" w:after="0"/>
              <w:jc w:val="center"/>
              <w:rPr>
                <w:b/>
                <w:bCs/>
                <w:color w:val="auto"/>
                <w:sz w:val="28"/>
                <w:lang w:eastAsia="ru-RU"/>
              </w:rPr>
            </w:pPr>
            <w:r>
              <w:rPr>
                <w:rFonts w:eastAsia="Times New Roman" w:cs="Times New Roman"/>
                <w:b/>
                <w:bCs/>
                <w:color w:val="auto"/>
                <w:kern w:val="0"/>
                <w:sz w:val="28"/>
                <w:lang w:val="uk-UA" w:eastAsia="ru-RU" w:bidi="ar-SA"/>
              </w:rPr>
              <w:t>Кваліфікаційні вимоги</w:t>
            </w:r>
          </w:p>
          <w:p>
            <w:pPr>
              <w:pStyle w:val="Normal"/>
              <w:widowControl/>
              <w:suppressAutoHyphens w:val="true"/>
              <w:spacing w:lineRule="auto" w:line="240" w:before="0" w:after="0"/>
              <w:ind w:hanging="0" w:right="101"/>
              <w:rPr>
                <w:b/>
                <w:bCs/>
                <w:i/>
                <w:i/>
                <w:iCs/>
              </w:rPr>
            </w:pPr>
            <w:r>
              <w:rPr>
                <w:b/>
                <w:bCs/>
                <w:i/>
                <w:iCs/>
              </w:rPr>
            </w:r>
          </w:p>
          <w:p>
            <w:pPr>
              <w:pStyle w:val="Normal"/>
              <w:widowControl/>
              <w:suppressAutoHyphens w:val="true"/>
              <w:spacing w:lineRule="auto" w:line="240" w:before="0" w:after="0"/>
              <w:ind w:hanging="0" w:right="101"/>
              <w:jc w:val="center"/>
              <w:rPr>
                <w:b/>
                <w:bCs/>
                <w:i/>
                <w:i/>
                <w:iCs/>
              </w:rPr>
            </w:pPr>
            <w:r>
              <w:rPr>
                <w:rFonts w:eastAsia="Times New Roman" w:cs="Times New Roman"/>
                <w:b/>
                <w:bCs/>
                <w:i/>
                <w:iCs/>
                <w:kern w:val="0"/>
                <w:szCs w:val="20"/>
                <w:lang w:val="uk-UA" w:bidi="ar-SA"/>
              </w:rPr>
              <w:t>Обов’язковою</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вимогою</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до</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осіб,</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які</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претендують</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на</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посаду,</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є наявність</w:t>
            </w:r>
            <w:r>
              <w:rPr>
                <w:rFonts w:eastAsia="Times New Roman" w:cs="Times New Roman"/>
                <w:b/>
                <w:bCs/>
                <w:i/>
                <w:iCs/>
                <w:spacing w:val="-1"/>
                <w:kern w:val="0"/>
                <w:szCs w:val="20"/>
                <w:lang w:val="uk-UA" w:bidi="ar-SA"/>
              </w:rPr>
              <w:t xml:space="preserve"> </w:t>
            </w:r>
            <w:r>
              <w:rPr>
                <w:rFonts w:eastAsia="Times New Roman" w:cs="Times New Roman"/>
                <w:b/>
                <w:bCs/>
                <w:i/>
                <w:iCs/>
                <w:kern w:val="0"/>
                <w:szCs w:val="20"/>
                <w:lang w:val="uk-UA" w:bidi="ar-SA"/>
              </w:rPr>
              <w:t xml:space="preserve">громадянства України та відсутність громадянства інших </w:t>
            </w:r>
            <w:r>
              <w:rPr>
                <w:rFonts w:eastAsia="Times New Roman" w:cs="Times New Roman"/>
                <w:b/>
                <w:bCs/>
                <w:i/>
                <w:iCs/>
                <w:spacing w:val="-2"/>
                <w:kern w:val="0"/>
                <w:szCs w:val="20"/>
                <w:lang w:val="uk-UA" w:bidi="ar-SA"/>
              </w:rPr>
              <w:t>держав.</w:t>
            </w:r>
          </w:p>
        </w:tc>
      </w:tr>
      <w:tr>
        <w:trPr/>
        <w:tc>
          <w:tcPr>
            <w:tcW w:w="517" w:type="dxa"/>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1.</w:t>
            </w:r>
          </w:p>
        </w:tc>
        <w:tc>
          <w:tcPr>
            <w:tcW w:w="3001"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Освіта</w:t>
            </w:r>
          </w:p>
        </w:tc>
        <w:tc>
          <w:tcPr>
            <w:tcW w:w="5934" w:type="dxa"/>
            <w:tcBorders/>
            <w:vAlign w:val="center"/>
          </w:tcPr>
          <w:p>
            <w:pPr>
              <w:pStyle w:val="Normal"/>
              <w:widowControl/>
              <w:suppressAutoHyphens w:val="true"/>
              <w:spacing w:lineRule="auto" w:line="240" w:before="0" w:after="0"/>
              <w:ind w:hanging="0"/>
              <w:rPr>
                <w:bCs/>
                <w:szCs w:val="24"/>
              </w:rPr>
            </w:pPr>
            <w:r>
              <w:rPr>
                <w:rFonts w:eastAsia="Times New Roman" w:cs="Times New Roman"/>
                <w:bCs/>
                <w:kern w:val="0"/>
                <w:szCs w:val="28"/>
                <w:lang w:val="uk-UA" w:bidi="ar-SA"/>
              </w:rPr>
              <w:t>ступінь вищої освіти – не нижче магістра</w:t>
            </w:r>
            <w:r>
              <w:rPr>
                <w:rFonts w:eastAsia="Times New Roman" w:cs="Times New Roman"/>
                <w:bCs/>
                <w:kern w:val="0"/>
                <w:szCs w:val="24"/>
                <w:lang w:val="uk-UA" w:bidi="ar-SA"/>
              </w:rPr>
              <w:t xml:space="preserve"> або спеціаліста.</w:t>
            </w:r>
          </w:p>
        </w:tc>
      </w:tr>
      <w:tr>
        <w:trPr/>
        <w:tc>
          <w:tcPr>
            <w:tcW w:w="517" w:type="dxa"/>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2.</w:t>
            </w:r>
          </w:p>
        </w:tc>
        <w:tc>
          <w:tcPr>
            <w:tcW w:w="3001"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Досвід роботи</w:t>
            </w:r>
          </w:p>
        </w:tc>
        <w:tc>
          <w:tcPr>
            <w:tcW w:w="5934" w:type="dxa"/>
            <w:tcBorders/>
          </w:tcPr>
          <w:p>
            <w:pPr>
              <w:pStyle w:val="Normal"/>
              <w:widowControl/>
              <w:suppressAutoHyphens w:val="true"/>
              <w:spacing w:lineRule="auto" w:line="240" w:before="0" w:after="0"/>
              <w:ind w:hanging="0" w:left="28"/>
              <w:rPr>
                <w:bCs/>
                <w:szCs w:val="24"/>
              </w:rPr>
            </w:pPr>
            <w:r>
              <w:rPr>
                <w:rFonts w:eastAsia="Times New Roman" w:cs="Times New Roman"/>
                <w:color w:val="000000"/>
                <w:kern w:val="0"/>
                <w:szCs w:val="20"/>
                <w:shd w:fill="FFFFFF" w:val="clear"/>
                <w:lang w:val="uk-UA" w:bidi="ar-SA"/>
              </w:rPr>
              <w:t>Досвід роботи на посадах державної служби категорій «Б» чи «В» 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w:t>
            </w:r>
          </w:p>
        </w:tc>
      </w:tr>
      <w:tr>
        <w:trPr>
          <w:trHeight w:val="495" w:hRule="atLeast"/>
        </w:trPr>
        <w:tc>
          <w:tcPr>
            <w:tcW w:w="517" w:type="dxa"/>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3.</w:t>
            </w:r>
          </w:p>
        </w:tc>
        <w:tc>
          <w:tcPr>
            <w:tcW w:w="3001"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Володіння державною мовою</w:t>
            </w:r>
          </w:p>
        </w:tc>
        <w:tc>
          <w:tcPr>
            <w:tcW w:w="5934" w:type="dxa"/>
            <w:tcBorders/>
          </w:tcPr>
          <w:p>
            <w:pPr>
              <w:pStyle w:val="Normal"/>
              <w:widowControl/>
              <w:suppressAutoHyphens w:val="true"/>
              <w:spacing w:lineRule="auto" w:line="240" w:before="0" w:after="0"/>
              <w:ind w:hanging="0"/>
              <w:rPr>
                <w:bCs/>
                <w:szCs w:val="24"/>
              </w:rPr>
            </w:pPr>
            <w:r>
              <w:rPr>
                <w:rFonts w:eastAsia="Times New Roman" w:cs="Times New Roman"/>
                <w:kern w:val="0"/>
                <w:szCs w:val="24"/>
                <w:lang w:val="uk-UA" w:bidi="ar-SA"/>
              </w:rPr>
              <w:t>вільне володіння державною мовою</w:t>
            </w:r>
          </w:p>
        </w:tc>
      </w:tr>
      <w:tr>
        <w:trPr>
          <w:trHeight w:val="239" w:hRule="atLeast"/>
        </w:trPr>
        <w:tc>
          <w:tcPr>
            <w:tcW w:w="517" w:type="dxa"/>
            <w:tcBorders/>
          </w:tcPr>
          <w:p>
            <w:pPr>
              <w:pStyle w:val="Normal"/>
              <w:widowControl/>
              <w:suppressAutoHyphens w:val="true"/>
              <w:spacing w:before="0" w:after="0"/>
              <w:ind w:hanging="0"/>
              <w:jc w:val="center"/>
              <w:rPr>
                <w:b/>
                <w:szCs w:val="24"/>
              </w:rPr>
            </w:pPr>
            <w:r>
              <w:rPr>
                <w:b/>
                <w:szCs w:val="24"/>
              </w:rPr>
            </w:r>
          </w:p>
        </w:tc>
        <w:tc>
          <w:tcPr>
            <w:tcW w:w="8935" w:type="dxa"/>
            <w:gridSpan w:val="3"/>
            <w:tcBorders/>
          </w:tcPr>
          <w:p>
            <w:pPr>
              <w:pStyle w:val="Normal"/>
              <w:widowControl/>
              <w:suppressAutoHyphens w:val="true"/>
              <w:spacing w:before="0" w:after="0"/>
              <w:ind w:hanging="0" w:left="169"/>
              <w:jc w:val="center"/>
              <w:rPr>
                <w:b/>
                <w:szCs w:val="24"/>
              </w:rPr>
            </w:pPr>
            <w:r>
              <w:rPr>
                <w:rFonts w:eastAsia="Times New Roman" w:cs="Times New Roman"/>
                <w:b/>
                <w:kern w:val="0"/>
                <w:szCs w:val="24"/>
                <w:lang w:val="uk-UA" w:bidi="ar-SA"/>
              </w:rPr>
              <w:t>Вимоги до компетентності</w:t>
            </w:r>
          </w:p>
        </w:tc>
      </w:tr>
      <w:tr>
        <w:trPr>
          <w:trHeight w:val="1883" w:hRule="atLeast"/>
        </w:trPr>
        <w:tc>
          <w:tcPr>
            <w:tcW w:w="517" w:type="dxa"/>
            <w:tcBorders/>
          </w:tcPr>
          <w:p>
            <w:pPr>
              <w:pStyle w:val="Normal"/>
              <w:widowControl/>
              <w:suppressAutoHyphens w:val="true"/>
              <w:spacing w:before="0" w:after="0"/>
              <w:ind w:hanging="0"/>
              <w:rPr>
                <w:szCs w:val="24"/>
              </w:rPr>
            </w:pPr>
            <w:r>
              <w:rPr>
                <w:rFonts w:eastAsia="Times New Roman" w:cs="Times New Roman"/>
                <w:kern w:val="0"/>
                <w:szCs w:val="24"/>
                <w:lang w:val="uk-UA" w:bidi="ar-SA"/>
              </w:rPr>
              <w:t>1.</w:t>
            </w:r>
          </w:p>
        </w:tc>
        <w:tc>
          <w:tcPr>
            <w:tcW w:w="2978" w:type="dxa"/>
            <w:tcBorders/>
          </w:tcPr>
          <w:p>
            <w:pPr>
              <w:pStyle w:val="Normal"/>
              <w:widowControl w:val="false"/>
              <w:suppressAutoHyphens w:val="true"/>
              <w:spacing w:lineRule="auto" w:line="240" w:before="0" w:after="0"/>
              <w:ind w:hanging="0" w:right="106"/>
              <w:rPr>
                <w:color w:val="000000"/>
                <w:szCs w:val="28"/>
              </w:rPr>
            </w:pPr>
            <w:r>
              <w:rPr>
                <w:rFonts w:eastAsia="Times New Roman" w:cs="Times New Roman"/>
                <w:color w:val="000000"/>
                <w:kern w:val="0"/>
                <w:szCs w:val="28"/>
                <w:lang w:val="uk-UA" w:bidi="ar-SA"/>
              </w:rPr>
              <w:t>Управління персоналом</w:t>
            </w:r>
          </w:p>
        </w:tc>
        <w:tc>
          <w:tcPr>
            <w:tcW w:w="5957" w:type="dxa"/>
            <w:gridSpan w:val="2"/>
            <w:tcBorders/>
          </w:tcPr>
          <w:p>
            <w:pPr>
              <w:pStyle w:val="Normal"/>
              <w:widowControl w:val="false"/>
              <w:numPr>
                <w:ilvl w:val="0"/>
                <w:numId w:val="1"/>
              </w:numPr>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делегування та управління результатами;</w:t>
            </w:r>
          </w:p>
          <w:p>
            <w:pPr>
              <w:pStyle w:val="Normal"/>
              <w:widowControl w:val="false"/>
              <w:numPr>
                <w:ilvl w:val="0"/>
                <w:numId w:val="1"/>
              </w:numPr>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управління мотивацією;</w:t>
            </w:r>
          </w:p>
          <w:p>
            <w:pPr>
              <w:pStyle w:val="Normal"/>
              <w:widowControl w:val="false"/>
              <w:numPr>
                <w:ilvl w:val="0"/>
                <w:numId w:val="1"/>
              </w:numPr>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наставництво та розвиток талантів;</w:t>
            </w:r>
          </w:p>
          <w:p>
            <w:pPr>
              <w:pStyle w:val="Normal"/>
              <w:widowControl w:val="false"/>
              <w:numPr>
                <w:ilvl w:val="0"/>
                <w:numId w:val="1"/>
              </w:numPr>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стимулювання командної роботи та співробітництва</w:t>
            </w:r>
          </w:p>
        </w:tc>
      </w:tr>
      <w:tr>
        <w:trPr>
          <w:trHeight w:val="2584" w:hRule="atLeast"/>
        </w:trPr>
        <w:tc>
          <w:tcPr>
            <w:tcW w:w="517" w:type="dxa"/>
            <w:tcBorders/>
          </w:tcPr>
          <w:p>
            <w:pPr>
              <w:pStyle w:val="Normal"/>
              <w:widowControl/>
              <w:suppressAutoHyphens w:val="true"/>
              <w:spacing w:before="0" w:after="0"/>
              <w:ind w:hanging="0"/>
              <w:rPr>
                <w:szCs w:val="24"/>
              </w:rPr>
            </w:pPr>
            <w:r>
              <w:rPr>
                <w:rFonts w:eastAsia="Times New Roman" w:cs="Times New Roman"/>
                <w:kern w:val="0"/>
                <w:szCs w:val="24"/>
                <w:lang w:val="uk-UA" w:bidi="ar-SA"/>
              </w:rPr>
              <w:t>2.</w:t>
            </w:r>
          </w:p>
        </w:tc>
        <w:tc>
          <w:tcPr>
            <w:tcW w:w="2978" w:type="dxa"/>
            <w:tcBorders/>
          </w:tcPr>
          <w:p>
            <w:pPr>
              <w:pStyle w:val="Normal"/>
              <w:widowControl/>
              <w:suppressAutoHyphens w:val="true"/>
              <w:spacing w:before="0" w:after="0"/>
              <w:ind w:hanging="0"/>
              <w:rPr>
                <w:szCs w:val="28"/>
              </w:rPr>
            </w:pPr>
            <w:r>
              <w:rPr>
                <w:rFonts w:eastAsia="Times New Roman" w:cs="Times New Roman"/>
                <w:color w:val="000000"/>
                <w:kern w:val="0"/>
                <w:szCs w:val="28"/>
                <w:lang w:val="uk-UA" w:bidi="ar-SA"/>
              </w:rPr>
              <w:t>Обґрунтування власної позиції та аналітичні здібності</w:t>
            </w:r>
          </w:p>
        </w:tc>
        <w:tc>
          <w:tcPr>
            <w:tcW w:w="5957" w:type="dxa"/>
            <w:gridSpan w:val="2"/>
            <w:tcBorders/>
          </w:tcPr>
          <w:p>
            <w:pPr>
              <w:pStyle w:val="Normal"/>
              <w:widowControl w:val="false"/>
              <w:tabs>
                <w:tab w:val="clear" w:pos="57"/>
                <w:tab w:val="left" w:pos="36" w:leader="none"/>
              </w:tabs>
              <w:suppressAutoHyphens w:val="true"/>
              <w:spacing w:lineRule="auto" w:line="240" w:before="0" w:after="0"/>
              <w:ind w:hanging="0" w:left="36" w:right="34"/>
              <w:rPr>
                <w:color w:val="000000"/>
                <w:szCs w:val="28"/>
              </w:rPr>
            </w:pPr>
            <w:r>
              <w:rPr>
                <w:rFonts w:eastAsia="Times New Roman" w:cs="Times New Roman"/>
                <w:kern w:val="0"/>
                <w:szCs w:val="28"/>
                <w:lang w:val="uk-UA" w:bidi="ar-SA"/>
              </w:rPr>
              <w:t xml:space="preserve">- </w:t>
            </w:r>
            <w:r>
              <w:rPr>
                <w:rFonts w:eastAsia="Times New Roman" w:cs="Times New Roman"/>
                <w:color w:val="000000"/>
                <w:kern w:val="0"/>
                <w:szCs w:val="28"/>
                <w:lang w:val="uk-UA" w:bidi="ar-SA"/>
              </w:rPr>
              <w:t>чітке і точне формулювання мети, цілей і завдань службової діяльності;</w:t>
            </w:r>
          </w:p>
          <w:p>
            <w:pPr>
              <w:pStyle w:val="Normal"/>
              <w:widowControl w:val="false"/>
              <w:tabs>
                <w:tab w:val="clear" w:pos="57"/>
                <w:tab w:val="left" w:pos="36" w:leader="none"/>
                <w:tab w:val="left" w:pos="398"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 комплексний підхід до виконання завдань, виявлення ризиків;</w:t>
            </w:r>
          </w:p>
          <w:p>
            <w:pPr>
              <w:pStyle w:val="ListParagraph"/>
              <w:widowControl/>
              <w:tabs>
                <w:tab w:val="clear" w:pos="57"/>
                <w:tab w:val="left" w:pos="36" w:leader="none"/>
              </w:tabs>
              <w:suppressAutoHyphens w:val="true"/>
              <w:spacing w:lineRule="auto" w:line="240" w:before="0" w:after="0"/>
              <w:ind w:hanging="0" w:left="36" w:right="34"/>
              <w:contextualSpacing/>
              <w:rPr>
                <w:szCs w:val="28"/>
              </w:rPr>
            </w:pPr>
            <w:r>
              <w:rPr>
                <w:rFonts w:eastAsia="Times New Roman" w:cs="Times New Roman"/>
                <w:color w:val="000000"/>
                <w:kern w:val="0"/>
                <w:szCs w:val="28"/>
                <w:lang w:val="uk-UA" w:bidi="ar-SA"/>
              </w:rPr>
              <w:t>- розуміння змісту завдання і його кінцевих результатів, самостійне визначення можливих шляхів досягнення</w:t>
            </w:r>
          </w:p>
        </w:tc>
      </w:tr>
      <w:tr>
        <w:trPr>
          <w:trHeight w:val="3320" w:hRule="atLeast"/>
        </w:trPr>
        <w:tc>
          <w:tcPr>
            <w:tcW w:w="517" w:type="dxa"/>
            <w:tcBorders/>
          </w:tcPr>
          <w:p>
            <w:pPr>
              <w:pStyle w:val="Normal"/>
              <w:widowControl/>
              <w:suppressAutoHyphens w:val="true"/>
              <w:spacing w:before="0" w:after="0"/>
              <w:ind w:hanging="0"/>
              <w:rPr>
                <w:szCs w:val="24"/>
              </w:rPr>
            </w:pPr>
            <w:r>
              <w:rPr>
                <w:rFonts w:eastAsia="Times New Roman" w:cs="Times New Roman"/>
                <w:kern w:val="0"/>
                <w:szCs w:val="24"/>
                <w:lang w:val="uk-UA" w:bidi="ar-SA"/>
              </w:rPr>
              <w:t>3.</w:t>
            </w:r>
          </w:p>
        </w:tc>
        <w:tc>
          <w:tcPr>
            <w:tcW w:w="2978" w:type="dxa"/>
            <w:tcBorders/>
          </w:tcPr>
          <w:p>
            <w:pPr>
              <w:pStyle w:val="Normal"/>
              <w:widowControl w:val="false"/>
              <w:suppressAutoHyphens w:val="true"/>
              <w:spacing w:lineRule="auto" w:line="240" w:before="0" w:after="0"/>
              <w:ind w:hanging="0" w:right="106"/>
              <w:rPr>
                <w:color w:val="000000"/>
                <w:szCs w:val="28"/>
              </w:rPr>
            </w:pPr>
            <w:r>
              <w:rPr>
                <w:rFonts w:eastAsia="Times New Roman" w:cs="Times New Roman"/>
                <w:color w:val="000000"/>
                <w:kern w:val="0"/>
                <w:szCs w:val="28"/>
                <w:lang w:val="uk-UA" w:bidi="ar-SA"/>
              </w:rPr>
              <w:t>Відповідальність</w:t>
            </w:r>
          </w:p>
        </w:tc>
        <w:tc>
          <w:tcPr>
            <w:tcW w:w="5957" w:type="dxa"/>
            <w:gridSpan w:val="2"/>
            <w:tcBorders/>
          </w:tcPr>
          <w:p>
            <w:pPr>
              <w:pStyle w:val="Normal"/>
              <w:widowControl w:val="false"/>
              <w:numPr>
                <w:ilvl w:val="0"/>
                <w:numId w:val="1"/>
              </w:numPr>
              <w:tabs>
                <w:tab w:val="clear" w:pos="57"/>
                <w:tab w:val="left" w:pos="36"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усвідомлення важливості якісного виконання своїх посадових обов'язків з дотриманням строків та встановлених процедур;</w:t>
            </w:r>
          </w:p>
          <w:p>
            <w:pPr>
              <w:pStyle w:val="ListParagraph"/>
              <w:widowControl w:val="false"/>
              <w:numPr>
                <w:ilvl w:val="0"/>
                <w:numId w:val="1"/>
              </w:numPr>
              <w:tabs>
                <w:tab w:val="clear" w:pos="57"/>
                <w:tab w:val="left" w:pos="36" w:leader="none"/>
              </w:tabs>
              <w:suppressAutoHyphens w:val="true"/>
              <w:spacing w:lineRule="auto" w:line="240" w:before="0" w:after="0"/>
              <w:ind w:hanging="0" w:left="36" w:right="34"/>
              <w:contextualSpacing/>
              <w:rPr>
                <w:color w:val="000000"/>
                <w:szCs w:val="28"/>
              </w:rPr>
            </w:pPr>
            <w:r>
              <w:rPr>
                <w:rFonts w:eastAsia="Times New Roman" w:cs="Times New Roman"/>
                <w:color w:val="000000"/>
                <w:kern w:val="0"/>
                <w:szCs w:val="28"/>
                <w:lang w:val="uk-UA" w:bidi="ar-SA"/>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1"/>
              </w:numPr>
              <w:tabs>
                <w:tab w:val="clear" w:pos="57"/>
                <w:tab w:val="left" w:pos="36"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здатність брати на себе зобов’язання, чітко їх дотримуватись і виконувати</w:t>
            </w:r>
          </w:p>
        </w:tc>
      </w:tr>
      <w:tr>
        <w:trPr>
          <w:trHeight w:val="2775" w:hRule="atLeast"/>
        </w:trPr>
        <w:tc>
          <w:tcPr>
            <w:tcW w:w="517" w:type="dxa"/>
            <w:tcBorders/>
          </w:tcPr>
          <w:p>
            <w:pPr>
              <w:pStyle w:val="Normal"/>
              <w:widowControl/>
              <w:suppressAutoHyphens w:val="true"/>
              <w:spacing w:before="0" w:after="0"/>
              <w:ind w:hanging="0"/>
              <w:rPr>
                <w:szCs w:val="24"/>
              </w:rPr>
            </w:pPr>
            <w:r>
              <w:rPr>
                <w:rFonts w:eastAsia="Times New Roman" w:cs="Times New Roman"/>
                <w:kern w:val="0"/>
                <w:szCs w:val="24"/>
                <w:lang w:val="uk-UA" w:bidi="ar-SA"/>
              </w:rPr>
              <w:t>4.</w:t>
            </w:r>
          </w:p>
        </w:tc>
        <w:tc>
          <w:tcPr>
            <w:tcW w:w="2978" w:type="dxa"/>
            <w:tcBorders/>
          </w:tcPr>
          <w:p>
            <w:pPr>
              <w:pStyle w:val="Normal"/>
              <w:widowControl w:val="false"/>
              <w:tabs>
                <w:tab w:val="clear" w:pos="57"/>
                <w:tab w:val="left" w:pos="1903" w:leader="none"/>
              </w:tabs>
              <w:suppressAutoHyphens w:val="true"/>
              <w:spacing w:lineRule="auto" w:line="240" w:before="0" w:after="0"/>
              <w:ind w:hanging="0" w:right="106"/>
              <w:rPr>
                <w:color w:val="000000"/>
                <w:szCs w:val="28"/>
              </w:rPr>
            </w:pPr>
            <w:r>
              <w:rPr>
                <w:rFonts w:eastAsia="Times New Roman" w:cs="Times New Roman"/>
                <w:color w:val="000000"/>
                <w:kern w:val="0"/>
                <w:szCs w:val="28"/>
                <w:lang w:val="uk-UA" w:bidi="ar-SA"/>
              </w:rPr>
              <w:t>Комунікація та взаємодія</w:t>
            </w:r>
          </w:p>
        </w:tc>
        <w:tc>
          <w:tcPr>
            <w:tcW w:w="5957" w:type="dxa"/>
            <w:gridSpan w:val="2"/>
            <w:tcBorders/>
          </w:tcPr>
          <w:p>
            <w:pPr>
              <w:pStyle w:val="Normal"/>
              <w:widowControl w:val="false"/>
              <w:numPr>
                <w:ilvl w:val="0"/>
                <w:numId w:val="1"/>
              </w:numPr>
              <w:tabs>
                <w:tab w:val="clear" w:pos="57"/>
                <w:tab w:val="left" w:pos="36" w:leader="none"/>
                <w:tab w:val="left" w:pos="420"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вміння визначати заінтересовані і впливові сторони та розбудовувати партнерські відносини;</w:t>
            </w:r>
          </w:p>
          <w:p>
            <w:pPr>
              <w:pStyle w:val="Normal"/>
              <w:widowControl w:val="false"/>
              <w:numPr>
                <w:ilvl w:val="0"/>
                <w:numId w:val="1"/>
              </w:numPr>
              <w:tabs>
                <w:tab w:val="clear" w:pos="57"/>
                <w:tab w:val="left" w:pos="36"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здатність ефективно взаємодіяти, дослухатися, сприймати та викладати думку;</w:t>
            </w:r>
          </w:p>
          <w:p>
            <w:pPr>
              <w:pStyle w:val="Normal"/>
              <w:widowControl w:val="false"/>
              <w:numPr>
                <w:ilvl w:val="0"/>
                <w:numId w:val="1"/>
              </w:numPr>
              <w:tabs>
                <w:tab w:val="clear" w:pos="57"/>
                <w:tab w:val="left" w:pos="36"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вміння публічно виступати перед аудиторією;</w:t>
            </w:r>
          </w:p>
          <w:p>
            <w:pPr>
              <w:pStyle w:val="Normal"/>
              <w:widowControl w:val="false"/>
              <w:numPr>
                <w:ilvl w:val="0"/>
                <w:numId w:val="1"/>
              </w:numPr>
              <w:tabs>
                <w:tab w:val="clear" w:pos="57"/>
                <w:tab w:val="left" w:pos="36" w:leader="none"/>
                <w:tab w:val="left" w:pos="353"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здатність переконувати інших за допомогою аргументів та послідовної комунікації</w:t>
            </w:r>
          </w:p>
        </w:tc>
      </w:tr>
      <w:tr>
        <w:trPr>
          <w:trHeight w:val="615" w:hRule="atLeast"/>
        </w:trPr>
        <w:tc>
          <w:tcPr>
            <w:tcW w:w="9452" w:type="dxa"/>
            <w:gridSpan w:val="4"/>
            <w:tcBorders/>
          </w:tcPr>
          <w:p>
            <w:pPr>
              <w:pStyle w:val="Normal"/>
              <w:widowControl/>
              <w:suppressAutoHyphens w:val="true"/>
              <w:spacing w:before="0" w:after="0"/>
              <w:ind w:hanging="0"/>
              <w:jc w:val="center"/>
              <w:rPr>
                <w:b/>
                <w:szCs w:val="24"/>
              </w:rPr>
            </w:pPr>
            <w:r>
              <w:rPr>
                <w:rFonts w:eastAsia="Times New Roman" w:cs="Times New Roman"/>
                <w:b/>
                <w:kern w:val="0"/>
                <w:szCs w:val="24"/>
                <w:lang w:val="uk-UA" w:bidi="ar-SA"/>
              </w:rPr>
              <w:t>Професійні знання</w:t>
            </w:r>
          </w:p>
        </w:tc>
      </w:tr>
      <w:tr>
        <w:trPr>
          <w:trHeight w:val="450" w:hRule="atLeast"/>
        </w:trPr>
        <w:tc>
          <w:tcPr>
            <w:tcW w:w="3518" w:type="dxa"/>
            <w:gridSpan w:val="3"/>
            <w:tcBorders/>
          </w:tcPr>
          <w:p>
            <w:pPr>
              <w:pStyle w:val="Default"/>
              <w:widowControl/>
              <w:suppressAutoHyphens w:val="true"/>
              <w:spacing w:before="0" w:after="0"/>
              <w:jc w:val="center"/>
              <w:rPr>
                <w:rFonts w:ascii="Times New Roman" w:hAnsi="Times New Roman" w:eastAsia="Times New Roman" w:cs="Times New Roman"/>
                <w:kern w:val="0"/>
                <w:lang w:val="uk-UA" w:eastAsia="uk-UA" w:bidi="ar-SA"/>
              </w:rPr>
            </w:pPr>
            <w:r>
              <w:rPr>
                <w:rFonts w:eastAsia="Times New Roman" w:cs="Times New Roman"/>
                <w:b/>
                <w:bCs/>
                <w:color w:val="auto"/>
                <w:kern w:val="0"/>
                <w:sz w:val="28"/>
                <w:lang w:val="uk-UA" w:eastAsia="ru-RU" w:bidi="ar-SA"/>
              </w:rPr>
              <w:t>Вимога</w:t>
            </w:r>
          </w:p>
        </w:tc>
        <w:tc>
          <w:tcPr>
            <w:tcW w:w="5934" w:type="dxa"/>
            <w:tcBorders/>
          </w:tcPr>
          <w:p>
            <w:pPr>
              <w:pStyle w:val="Normal"/>
              <w:widowControl/>
              <w:suppressAutoHyphens w:val="true"/>
              <w:spacing w:before="0" w:after="0"/>
              <w:jc w:val="center"/>
              <w:rPr>
                <w:rFonts w:ascii="Times New Roman" w:hAnsi="Times New Roman" w:eastAsia="Times New Roman" w:cs="Times New Roman"/>
                <w:kern w:val="0"/>
                <w:szCs w:val="20"/>
                <w:lang w:val="uk-UA" w:bidi="ar-SA"/>
              </w:rPr>
            </w:pPr>
            <w:r>
              <w:rPr>
                <w:rFonts w:eastAsia="Times New Roman" w:cs="Times New Roman"/>
                <w:b/>
                <w:kern w:val="0"/>
                <w:szCs w:val="24"/>
                <w:lang w:val="uk-UA" w:bidi="ar-SA"/>
              </w:rPr>
              <w:t>Компоненти вимоги</w:t>
            </w:r>
          </w:p>
        </w:tc>
      </w:tr>
      <w:tr>
        <w:trPr>
          <w:trHeight w:val="210" w:hRule="atLeast"/>
        </w:trPr>
        <w:tc>
          <w:tcPr>
            <w:tcW w:w="517" w:type="dxa"/>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1.</w:t>
            </w:r>
          </w:p>
        </w:tc>
        <w:tc>
          <w:tcPr>
            <w:tcW w:w="3001" w:type="dxa"/>
            <w:gridSpan w:val="2"/>
            <w:tcBorders/>
          </w:tcPr>
          <w:p>
            <w:pPr>
              <w:pStyle w:val="Default"/>
              <w:widowControl/>
              <w:suppressAutoHyphens w:val="true"/>
              <w:spacing w:before="0" w:after="0"/>
              <w:jc w:val="left"/>
              <w:rPr>
                <w:bCs/>
                <w:color w:val="auto"/>
                <w:sz w:val="28"/>
                <w:szCs w:val="28"/>
                <w:lang w:eastAsia="ru-RU"/>
              </w:rPr>
            </w:pPr>
            <w:r>
              <w:rPr>
                <w:rFonts w:eastAsia="Times New Roman" w:cs="Times New Roman"/>
                <w:bCs/>
                <w:color w:val="auto"/>
                <w:kern w:val="0"/>
                <w:sz w:val="28"/>
                <w:szCs w:val="28"/>
                <w:lang w:val="uk-UA" w:eastAsia="ru-RU" w:bidi="ar-SA"/>
              </w:rPr>
              <w:t>Знання законодавства</w:t>
            </w:r>
          </w:p>
        </w:tc>
        <w:tc>
          <w:tcPr>
            <w:tcW w:w="5934" w:type="dxa"/>
            <w:tcBorders/>
          </w:tcPr>
          <w:p>
            <w:pPr>
              <w:pStyle w:val="Normal"/>
              <w:widowControl/>
              <w:suppressAutoHyphens w:val="true"/>
              <w:spacing w:before="0" w:after="0"/>
              <w:ind w:hanging="0"/>
              <w:rPr>
                <w:rFonts w:ascii="Times New Roman" w:hAnsi="Times New Roman" w:eastAsia="Times New Roman" w:cs="Times New Roman"/>
                <w:kern w:val="0"/>
                <w:szCs w:val="20"/>
                <w:lang w:val="uk-UA" w:bidi="ar-SA"/>
              </w:rPr>
            </w:pPr>
            <w:r>
              <w:rPr>
                <w:rFonts w:eastAsia="Times New Roman" w:cs="Times New Roman"/>
                <w:kern w:val="0"/>
                <w:szCs w:val="28"/>
                <w:lang w:val="uk-UA" w:bidi="ar-SA"/>
              </w:rPr>
              <w:t>Знання:</w:t>
            </w:r>
          </w:p>
          <w:p>
            <w:pPr>
              <w:pStyle w:val="Normal"/>
              <w:widowControl/>
              <w:suppressAutoHyphens w:val="true"/>
              <w:spacing w:before="0" w:after="0"/>
              <w:ind w:hanging="0"/>
              <w:rPr>
                <w:rStyle w:val="csd2c743de"/>
              </w:rPr>
            </w:pPr>
            <w:r>
              <w:rPr>
                <w:rStyle w:val="csd2c743de"/>
                <w:rFonts w:eastAsia="Times New Roman" w:cs="Times New Roman"/>
                <w:kern w:val="0"/>
                <w:szCs w:val="20"/>
                <w:lang w:val="uk-UA" w:bidi="ar-SA"/>
              </w:rPr>
              <w:t>- Конституції України;</w:t>
            </w:r>
          </w:p>
          <w:p>
            <w:pPr>
              <w:pStyle w:val="Normal"/>
              <w:widowControl/>
              <w:suppressAutoHyphens w:val="true"/>
              <w:spacing w:before="0" w:after="0"/>
              <w:ind w:hanging="0"/>
              <w:rPr>
                <w:rStyle w:val="csd2c743de"/>
              </w:rPr>
            </w:pPr>
            <w:r>
              <w:rPr>
                <w:rStyle w:val="csd2c743de"/>
                <w:rFonts w:eastAsia="Times New Roman" w:cs="Times New Roman"/>
                <w:kern w:val="0"/>
                <w:szCs w:val="20"/>
                <w:lang w:val="uk-UA" w:bidi="ar-SA"/>
              </w:rPr>
              <w:t>- Закону України «Про запобігання корупції»;</w:t>
            </w:r>
          </w:p>
          <w:p>
            <w:pPr>
              <w:pStyle w:val="Normal"/>
              <w:widowControl/>
              <w:suppressAutoHyphens w:val="true"/>
              <w:spacing w:before="0" w:after="0"/>
              <w:ind w:hanging="0"/>
              <w:rPr>
                <w:rStyle w:val="csd2c743de"/>
              </w:rPr>
            </w:pPr>
            <w:r>
              <w:rPr>
                <w:rStyle w:val="csd2c743de"/>
                <w:rFonts w:eastAsia="Times New Roman" w:cs="Times New Roman"/>
                <w:kern w:val="0"/>
                <w:szCs w:val="20"/>
                <w:lang w:val="uk-UA" w:bidi="ar-SA"/>
              </w:rPr>
              <w:t>- Закону України «Про державну службу»;</w:t>
            </w:r>
          </w:p>
          <w:p>
            <w:pPr>
              <w:pStyle w:val="Normal"/>
              <w:widowControl/>
              <w:suppressAutoHyphens w:val="true"/>
              <w:spacing w:before="0" w:after="0"/>
              <w:ind w:firstLine="3"/>
              <w:rPr>
                <w:rStyle w:val="csd2c743de"/>
              </w:rPr>
            </w:pPr>
            <w:r>
              <w:rPr>
                <w:rStyle w:val="csd2c743de"/>
                <w:rFonts w:eastAsia="Times New Roman" w:cs="Times New Roman"/>
                <w:kern w:val="0"/>
                <w:szCs w:val="20"/>
                <w:lang w:val="uk-UA" w:bidi="ar-SA"/>
              </w:rPr>
              <w:t>- Закону України «Про доступ до публічної інформації»;</w:t>
            </w:r>
          </w:p>
          <w:p>
            <w:pPr>
              <w:pStyle w:val="cs66e64e55"/>
              <w:widowControl/>
              <w:suppressAutoHyphens w:val="true"/>
              <w:spacing w:beforeAutospacing="0" w:before="0" w:afterAutospacing="0" w:after="0"/>
              <w:jc w:val="both"/>
              <w:rPr>
                <w:sz w:val="28"/>
                <w:szCs w:val="28"/>
              </w:rPr>
            </w:pPr>
            <w:r>
              <w:rPr>
                <w:rStyle w:val="csd2c743de"/>
                <w:rFonts w:eastAsia="Times New Roman" w:cs="Times New Roman"/>
                <w:kern w:val="0"/>
                <w:sz w:val="28"/>
                <w:szCs w:val="28"/>
                <w:lang w:bidi="ar-SA"/>
              </w:rPr>
              <w:t>- Закону України «Про захист персональних даних».</w:t>
            </w:r>
          </w:p>
        </w:tc>
      </w:tr>
      <w:tr>
        <w:trPr>
          <w:trHeight w:val="958" w:hRule="atLeast"/>
        </w:trPr>
        <w:tc>
          <w:tcPr>
            <w:tcW w:w="517" w:type="dxa"/>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2.</w:t>
            </w:r>
          </w:p>
        </w:tc>
        <w:tc>
          <w:tcPr>
            <w:tcW w:w="3001"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Знання законодавства у сфері</w:t>
            </w:r>
          </w:p>
        </w:tc>
        <w:tc>
          <w:tcPr>
            <w:tcW w:w="5934" w:type="dxa"/>
            <w:tcBorders/>
          </w:tcPr>
          <w:p>
            <w:pPr>
              <w:pStyle w:val="Normal"/>
              <w:widowControl/>
              <w:suppressAutoHyphens w:val="true"/>
              <w:spacing w:before="0" w:after="0"/>
              <w:ind w:hanging="0"/>
              <w:rPr>
                <w:color w:val="000000"/>
                <w:szCs w:val="28"/>
              </w:rPr>
            </w:pPr>
            <w:r>
              <w:rPr>
                <w:rFonts w:eastAsia="Times New Roman" w:cs="Times New Roman"/>
                <w:color w:val="000000"/>
                <w:kern w:val="0"/>
                <w:szCs w:val="28"/>
                <w:lang w:val="uk-UA" w:bidi="ar-SA"/>
              </w:rPr>
              <w:t>- Законом України від 17.02.2022 № 2073-IX «Про адміністративну процедуру»;</w:t>
            </w:r>
          </w:p>
          <w:p>
            <w:pPr>
              <w:pStyle w:val="Normal"/>
              <w:widowControl/>
              <w:suppressAutoHyphens w:val="true"/>
              <w:spacing w:before="0" w:after="0"/>
              <w:ind w:hanging="0"/>
              <w:rPr>
                <w:color w:val="FF0000"/>
              </w:rPr>
            </w:pPr>
            <w:r>
              <w:rPr>
                <w:rFonts w:eastAsia="Times New Roman" w:cs="Times New Roman"/>
                <w:color w:val="000000"/>
                <w:kern w:val="0"/>
                <w:szCs w:val="28"/>
                <w:lang w:val="uk-UA" w:bidi="ar-SA"/>
              </w:rPr>
              <w:t>- Постанова Правління Пенсійного фонду України «Про затвердження Порядку оскарження рішень, дій (бездіяльності) територіальних органів Пенсійного фонду України та їх посадових осіб щодо пенсійного забезпечення, надання страхових виплат та соціальних послуг» від 13.06.2025 № 21-1.</w:t>
            </w:r>
          </w:p>
        </w:tc>
      </w:tr>
    </w:tbl>
    <w:p>
      <w:pPr>
        <w:pStyle w:val="Style17"/>
        <w:jc w:val="center"/>
        <w:rPr>
          <w:bCs/>
          <w:szCs w:val="28"/>
        </w:rPr>
      </w:pPr>
      <w:r>
        <w:rPr>
          <w:bCs/>
          <w:szCs w:val="28"/>
        </w:rPr>
        <w:t>______________________</w:t>
      </w:r>
    </w:p>
    <w:sectPr>
      <w:headerReference w:type="even" r:id="rId2"/>
      <w:headerReference w:type="default" r:id="rId3"/>
      <w:headerReference w:type="first" r:id="rId4"/>
      <w:type w:val="nextPage"/>
      <w:pgSz w:w="11906" w:h="16838"/>
      <w:pgMar w:left="1701" w:right="567" w:gutter="0" w:header="567" w:top="1134" w:footer="0" w:bottom="709"/>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0" distB="0" distL="0" distR="0" simplePos="0" locked="0" layoutInCell="0" allowOverlap="1" relativeHeight="6">
              <wp:simplePos x="0" y="0"/>
              <wp:positionH relativeFrom="margin">
                <wp:align>center</wp:align>
              </wp:positionH>
              <wp:positionV relativeFrom="paragraph">
                <wp:posOffset>635</wp:posOffset>
              </wp:positionV>
              <wp:extent cx="14605" cy="14605"/>
              <wp:effectExtent l="0" t="0" r="0" b="0"/>
              <wp:wrapSquare wrapText="bothSides"/>
              <wp:docPr id="1" name="Рам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Style25"/>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wps:txbx>
                    <wps:bodyPr lIns="0" rIns="0" tIns="0" bIns="0" anchor="t">
                      <a:noAutofit/>
                    </wps:bodyPr>
                  </wps:wsp>
                </a:graphicData>
              </a:graphic>
            </wp:anchor>
          </w:drawing>
        </mc:Choice>
        <mc:Fallback>
          <w:pict>
            <v:rect id="shape_0" ID="Рамка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Style25"/>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0"/>
      </w:rPr>
    </w:pPr>
    <w:r>
      <w:rPr>
        <w:sz w:val="20"/>
      </w:rPr>
      <mc:AlternateContent>
        <mc:Choice Requires="wps">
          <w:drawing>
            <wp:anchor behindDoc="1" distT="0" distB="0" distL="0" distR="0" simplePos="0" locked="0" layoutInCell="0" allowOverlap="1" relativeHeight="4">
              <wp:simplePos x="0" y="0"/>
              <wp:positionH relativeFrom="margin">
                <wp:align>center</wp:align>
              </wp:positionH>
              <wp:positionV relativeFrom="paragraph">
                <wp:posOffset>635</wp:posOffset>
              </wp:positionV>
              <wp:extent cx="1481455" cy="175260"/>
              <wp:effectExtent l="0" t="0" r="0" b="0"/>
              <wp:wrapSquare wrapText="bothSides"/>
              <wp:docPr id="2" name="Рамка2"/>
              <a:graphic xmlns:a="http://schemas.openxmlformats.org/drawingml/2006/main">
                <a:graphicData uri="http://schemas.microsoft.com/office/word/2010/wordprocessingShape">
                  <wps:wsp>
                    <wps:cNvSpPr/>
                    <wps:spPr>
                      <a:xfrm>
                        <a:off x="0" y="0"/>
                        <a:ext cx="1481400" cy="175320"/>
                      </a:xfrm>
                      <a:prstGeom prst="rect">
                        <a:avLst/>
                      </a:prstGeom>
                      <a:noFill/>
                      <a:ln w="0">
                        <a:noFill/>
                      </a:ln>
                    </wps:spPr>
                    <wps:style>
                      <a:lnRef idx="0"/>
                      <a:fillRef idx="0"/>
                      <a:effectRef idx="0"/>
                      <a:fontRef idx="minor"/>
                    </wps:style>
                    <wps:txbx>
                      <w:txbxContent>
                        <w:p>
                          <w:pPr>
                            <w:pStyle w:val="Style25"/>
                            <w:rPr>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3</w:t>
                          </w:r>
                          <w:r>
                            <w:rPr>
                              <w:sz w:val="24"/>
                              <w:szCs w:val="24"/>
                              <w:color w:val="000000"/>
                            </w:rPr>
                            <w:fldChar w:fldCharType="end"/>
                          </w:r>
                        </w:p>
                      </w:txbxContent>
                    </wps:txbx>
                    <wps:bodyPr lIns="0" rIns="0" tIns="0" bIns="0" anchor="t">
                      <a:noAutofit/>
                    </wps:bodyPr>
                  </wps:wsp>
                </a:graphicData>
              </a:graphic>
            </wp:anchor>
          </w:drawing>
        </mc:Choice>
        <mc:Fallback>
          <w:pict>
            <v:rect id="shape_0" ID="Рамка2" path="m0,0l-2147483645,0l-2147483645,-2147483646l0,-2147483646xe" stroked="f" o:allowincell="f" style="position:absolute;margin-left:182.6pt;margin-top:0.05pt;width:116.6pt;height:13.75pt;mso-wrap-style:square;v-text-anchor:top;mso-position-horizontal:center;mso-position-horizontal-relative:margin">
              <v:fill o:detectmouseclick="t" on="false"/>
              <v:stroke color="#3465a4" joinstyle="round" endcap="flat"/>
              <v:textbox>
                <w:txbxContent>
                  <w:p>
                    <w:pPr>
                      <w:pStyle w:val="Style25"/>
                      <w:rPr>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3</w:t>
                    </w:r>
                    <w:r>
                      <w:rPr>
                        <w:sz w:val="24"/>
                        <w:szCs w:val="24"/>
                        <w:color w:val="000000"/>
                      </w:rPr>
                      <w:fldChar w:fldCharType="end"/>
                    </w:r>
                  </w:p>
                </w:txbxContent>
              </v:textbox>
              <w10:wrap type="squar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57"/>
  <w:autoHyphenation w:val="true"/>
  <w:hyphenationZone w:val="0"/>
  <w:compat>
    <w:doNotBreakWrappedTables/>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themeFontLang w:val="" w:eastAsia="" w:bidi=""/>
  <w:docVars>
    <w:docVar w:name="StepHandle" w:val="262696"/>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 w:cstheme="minorBidi" w:eastAsiaTheme="minorHAnsi"/>
      <w:sz w:val="16"/>
      <w:szCs w:val="16"/>
      <w:lang w:eastAsia="en-US"/>
    </w:rPr>
  </w:style>
  <w:style w:type="character" w:styleId="Style12" w:customStyle="1">
    <w:name w:val="Верхній колонтитул Знак"/>
    <w:basedOn w:val="DefaultParagraphFont"/>
    <w:uiPriority w:val="99"/>
    <w:qFormat/>
    <w:rsid w:val="00125745"/>
    <w:rPr>
      <w:sz w:val="28"/>
      <w:lang w:eastAsia="ru-RU"/>
    </w:rPr>
  </w:style>
  <w:style w:type="character" w:styleId="Style13" w:customStyle="1">
    <w:name w:val="Підзаголовок Знак"/>
    <w:basedOn w:val="DefaultParagraphFont"/>
    <w:uiPriority w:val="99"/>
    <w:qFormat/>
    <w:rsid w:val="00de0c41"/>
    <w:rPr>
      <w:b/>
      <w:sz w:val="28"/>
    </w:rPr>
  </w:style>
  <w:style w:type="character" w:styleId="rvts0" w:customStyle="1">
    <w:name w:val="rvts0"/>
    <w:qFormat/>
    <w:rsid w:val="005a46ff"/>
    <w:rPr>
      <w:rFonts w:cs="Times New Roman"/>
    </w:rPr>
  </w:style>
  <w:style w:type="character" w:styleId="csd2c743de" w:customStyle="1">
    <w:name w:val="csd2c743de"/>
    <w:basedOn w:val="DefaultParagraphFont"/>
    <w:qFormat/>
    <w:rsid w:val="002330a4"/>
    <w:rPr/>
  </w:style>
  <w:style w:type="paragraph" w:styleId="Style14" w:customStyle="1">
    <w:name w:val="Заголовок"/>
    <w:basedOn w:val="Normal"/>
    <w:next w:val="BodyText"/>
    <w:qFormat/>
    <w:pPr>
      <w:keepNext w:val="true"/>
      <w:spacing w:before="240" w:after="120"/>
    </w:pPr>
    <w:rPr>
      <w:rFonts w:ascii="Liberation Sans" w:hAnsi="Liberation Sans" w:eastAsia="Microsoft YaHei" w:cs="Arial"/>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customStyle="1">
    <w:name w:val="Покажчик"/>
    <w:basedOn w:val="Normal"/>
    <w:qFormat/>
    <w:pPr>
      <w:suppressLineNumbers/>
    </w:pPr>
    <w:rPr>
      <w:rFonts w:cs="Arial"/>
    </w:rPr>
  </w:style>
  <w:style w:type="paragraph" w:styleId="user" w:customStyle="1">
    <w:name w:val="Заголовок (user)"/>
    <w:basedOn w:val="Normal"/>
    <w:next w:val="BodyText"/>
    <w:qFormat/>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pPr>
      <w:suppressLineNumbers/>
    </w:pPr>
    <w:rPr>
      <w:rFonts w:cs="Lucida Sans"/>
    </w:rPr>
  </w:style>
  <w:style w:type="paragraph" w:styleId="user2" w:customStyle="1">
    <w:name w:val="Верхній і нижній колонтитули (user)"/>
    <w:basedOn w:val="Normal"/>
    <w:qFormat/>
    <w:pPr/>
    <w:rPr/>
  </w:style>
  <w:style w:type="paragraph" w:styleId="Style16" w:customStyle="1">
    <w:name w:val="Верхній і нижній колонтитули"/>
    <w:basedOn w:val="Normal"/>
    <w:qFormat/>
    <w:pPr/>
    <w:rPr/>
  </w:style>
  <w:style w:type="paragraph" w:styleId="Footer">
    <w:name w:val="footer"/>
    <w:basedOn w:val="Normal"/>
    <w:rsid w:val="00a0742f"/>
    <w:pPr>
      <w:tabs>
        <w:tab w:val="clear" w:pos="57"/>
        <w:tab w:val="center" w:pos="4153" w:leader="none"/>
        <w:tab w:val="right" w:pos="8306" w:leader="none"/>
      </w:tabs>
    </w:pPr>
    <w:rPr/>
  </w:style>
  <w:style w:type="paragraph" w:styleId="Style17" w:customStyle="1">
    <w:name w:val="Нормальний текст"/>
    <w:basedOn w:val="Normal"/>
    <w:qFormat/>
    <w:rsid w:val="00a0742f"/>
    <w:pPr>
      <w:spacing w:before="120" w:after="0"/>
      <w:ind w:firstLine="567"/>
    </w:pPr>
    <w:rPr/>
  </w:style>
  <w:style w:type="paragraph" w:styleId="Style18"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Style12"/>
    <w:uiPriority w:val="99"/>
    <w:rsid w:val="00a0742f"/>
    <w:pPr>
      <w:tabs>
        <w:tab w:val="clear" w:pos="57"/>
        <w:tab w:val="center" w:pos="4153" w:leader="none"/>
        <w:tab w:val="right" w:pos="8306" w:leader="none"/>
      </w:tabs>
    </w:pPr>
    <w:rPr/>
  </w:style>
  <w:style w:type="paragraph" w:styleId="11" w:customStyle="1">
    <w:name w:val="Підпис1"/>
    <w:basedOn w:val="Normal"/>
    <w:qFormat/>
    <w:rsid w:val="00a0742f"/>
    <w:pPr>
      <w:keepLines/>
      <w:tabs>
        <w:tab w:val="clear" w:pos="57"/>
        <w:tab w:val="center" w:pos="2268" w:leader="none"/>
        <w:tab w:val="left" w:pos="6804" w:leader="none"/>
      </w:tabs>
      <w:spacing w:before="360" w:after="0"/>
    </w:pPr>
    <w:rPr>
      <w:b/>
      <w:position w:val="-48"/>
    </w:rPr>
  </w:style>
  <w:style w:type="paragraph" w:styleId="Style19" w:customStyle="1">
    <w:name w:val="Глава документу"/>
    <w:basedOn w:val="Normal"/>
    <w:next w:val="Normal"/>
    <w:qFormat/>
    <w:rsid w:val="00a0742f"/>
    <w:pPr>
      <w:keepNext w:val="true"/>
      <w:keepLines/>
      <w:spacing w:before="120" w:after="120"/>
      <w:jc w:val="center"/>
    </w:pPr>
    <w:rPr/>
  </w:style>
  <w:style w:type="paragraph" w:styleId="Style20" w:customStyle="1">
    <w:name w:val="Герб"/>
    <w:basedOn w:val="Normal"/>
    <w:qFormat/>
    <w:rsid w:val="00a0742f"/>
    <w:pPr>
      <w:keepNext w:val="true"/>
      <w:keepLines/>
      <w:jc w:val="center"/>
    </w:pPr>
    <w:rPr>
      <w:sz w:val="144"/>
      <w:lang w:val="en-US"/>
    </w:rPr>
  </w:style>
  <w:style w:type="paragraph" w:styleId="Style21" w:customStyle="1">
    <w:name w:val="Установа"/>
    <w:basedOn w:val="Normal"/>
    <w:qFormat/>
    <w:rsid w:val="00a0742f"/>
    <w:pPr>
      <w:keepNext w:val="true"/>
      <w:keepLines/>
      <w:spacing w:before="120" w:after="0"/>
      <w:jc w:val="center"/>
    </w:pPr>
    <w:rPr>
      <w:b/>
      <w:sz w:val="40"/>
    </w:rPr>
  </w:style>
  <w:style w:type="paragraph" w:styleId="Style22" w:customStyle="1">
    <w:name w:val="Вид документа"/>
    <w:basedOn w:val="Style21"/>
    <w:next w:val="Normal"/>
    <w:qFormat/>
    <w:rsid w:val="00a0742f"/>
    <w:pPr>
      <w:spacing w:before="360" w:after="240"/>
    </w:pPr>
    <w:rPr>
      <w:spacing w:val="20"/>
      <w:sz w:val="26"/>
    </w:rPr>
  </w:style>
  <w:style w:type="paragraph" w:styleId="Style23" w:customStyle="1">
    <w:name w:val="Час та місце"/>
    <w:basedOn w:val="Normal"/>
    <w:qFormat/>
    <w:rsid w:val="00a0742f"/>
    <w:pPr>
      <w:keepNext w:val="true"/>
      <w:keepLines/>
      <w:spacing w:before="120" w:after="240"/>
      <w:jc w:val="center"/>
    </w:pPr>
    <w:rPr/>
  </w:style>
  <w:style w:type="paragraph" w:styleId="Style24" w:customStyle="1">
    <w:name w:val="Назва документа"/>
    <w:basedOn w:val="Normal"/>
    <w:next w:val="Style17"/>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cs="" w:cstheme="minorBidi" w:eastAsiaTheme="minorHAns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197d14"/>
    <w:pPr>
      <w:spacing w:before="0" w:after="0"/>
      <w:ind w:left="720"/>
      <w:contextualSpacing/>
    </w:pPr>
    <w:rPr/>
  </w:style>
  <w:style w:type="paragraph" w:styleId="Subtitle">
    <w:name w:val="Subtitle"/>
    <w:basedOn w:val="Normal"/>
    <w:link w:val="Style13"/>
    <w:uiPriority w:val="99"/>
    <w:qFormat/>
    <w:rsid w:val="00de0c41"/>
    <w:pPr>
      <w:spacing w:lineRule="auto" w:line="240"/>
      <w:ind w:hanging="0"/>
      <w:jc w:val="center"/>
    </w:pPr>
    <w:rPr>
      <w:b/>
    </w:rPr>
  </w:style>
  <w:style w:type="paragraph" w:styleId="31" w:customStyle="1">
    <w:name w:val="Основной текст (3)1"/>
    <w:basedOn w:val="Normal"/>
    <w:qFormat/>
    <w:rsid w:val="00c42ed0"/>
    <w:pPr>
      <w:widowControl w:val="false"/>
      <w:shd w:val="clear" w:color="auto" w:fill="FFFFFF"/>
      <w:spacing w:lineRule="atLeast" w:line="240" w:before="0" w:after="600"/>
      <w:ind w:hanging="0"/>
      <w:jc w:val="left"/>
    </w:pPr>
    <w:rPr>
      <w:rFonts w:ascii="Courier New" w:hAnsi="Courier New"/>
      <w:spacing w:val="2"/>
      <w:sz w:val="17"/>
    </w:rPr>
  </w:style>
  <w:style w:type="paragraph" w:styleId="csfb0aa375" w:customStyle="1">
    <w:name w:val="csfb0aa375"/>
    <w:basedOn w:val="Normal"/>
    <w:qFormat/>
    <w:rsid w:val="002330a4"/>
    <w:pPr>
      <w:spacing w:lineRule="auto" w:line="240" w:beforeAutospacing="1" w:afterAutospacing="1"/>
      <w:ind w:hanging="0"/>
      <w:jc w:val="left"/>
    </w:pPr>
    <w:rPr>
      <w:sz w:val="24"/>
      <w:szCs w:val="24"/>
      <w:lang w:val="ru-RU"/>
    </w:rPr>
  </w:style>
  <w:style w:type="paragraph" w:styleId="cse2a94784" w:customStyle="1">
    <w:name w:val="cse2a94784"/>
    <w:basedOn w:val="Normal"/>
    <w:qFormat/>
    <w:rsid w:val="002330a4"/>
    <w:pPr>
      <w:spacing w:lineRule="auto" w:line="240" w:beforeAutospacing="1" w:afterAutospacing="1"/>
      <w:ind w:hanging="0"/>
      <w:jc w:val="left"/>
    </w:pPr>
    <w:rPr>
      <w:sz w:val="24"/>
      <w:szCs w:val="24"/>
      <w:lang w:val="ru-RU"/>
    </w:rPr>
  </w:style>
  <w:style w:type="paragraph" w:styleId="cs66e64e55" w:customStyle="1">
    <w:name w:val="cs66e64e55"/>
    <w:basedOn w:val="Normal"/>
    <w:qFormat/>
    <w:rsid w:val="002330a4"/>
    <w:pPr>
      <w:spacing w:lineRule="auto" w:line="240" w:beforeAutospacing="1" w:afterAutospacing="1"/>
      <w:ind w:hanging="0"/>
      <w:jc w:val="left"/>
    </w:pPr>
    <w:rPr>
      <w:sz w:val="24"/>
      <w:szCs w:val="24"/>
      <w:lang w:val="ru-RU"/>
    </w:rPr>
  </w:style>
  <w:style w:type="paragraph" w:styleId="user3" w:customStyle="1">
    <w:name w:val="Вміст рамки (user)"/>
    <w:basedOn w:val="Normal"/>
    <w:qFormat/>
    <w:pPr/>
    <w:rPr/>
  </w:style>
  <w:style w:type="paragraph" w:styleId="Style25" w:customStyle="1">
    <w:name w:val="Вміст рамки"/>
    <w:basedOn w:val="Normal"/>
    <w:qFormat/>
    <w:pPr/>
    <w:rPr/>
  </w:style>
  <w:style w:type="paragraph" w:styleId="Style26" w:customStyle="1">
    <w:name w:val="Вміст таблиці"/>
    <w:basedOn w:val="Normal"/>
    <w:qFormat/>
    <w:pPr>
      <w:widowControl w:val="false"/>
      <w:suppressLineNumbers/>
    </w:pPr>
    <w:rPr/>
  </w:style>
  <w:style w:type="paragraph" w:styleId="Style27" w:customStyle="1">
    <w:name w:val="Заголовок таблиці"/>
    <w:basedOn w:val="Style26"/>
    <w:qFormat/>
    <w:pPr>
      <w:jc w:val="center"/>
    </w:pPr>
    <w:rPr>
      <w:b/>
      <w:bCs/>
    </w:rPr>
  </w:style>
  <w:style w:type="paragraph" w:styleId="cs7c5251be" w:customStyle="1">
    <w:name w:val="cs7c5251be"/>
    <w:basedOn w:val="Normal"/>
    <w:qFormat/>
    <w:pPr>
      <w:spacing w:lineRule="auto" w:line="240" w:beforeAutospacing="1" w:afterAutospacing="1"/>
      <w:ind w:hanging="0"/>
      <w:jc w:val="left"/>
    </w:pPr>
    <w:rPr>
      <w:sz w:val="24"/>
      <w:szCs w:val="24"/>
      <w:lang w:eastAsia="uk-UA"/>
    </w:rPr>
  </w:style>
  <w:style w:type="numbering" w:styleId="Style28" w:default="1">
    <w:name w:val="Без маркерів"/>
    <w:uiPriority w:val="99"/>
    <w:semiHidden/>
    <w:unhideWhenUsed/>
    <w:qFormat/>
  </w:style>
  <w:style w:type="numbering" w:styleId="user4" w:customStyle="1">
    <w:name w:val="Без маркерів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e">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Офіс">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99B6B-F138-4707-A219-BBA6839F4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Application>LibreOffice/25.2.4.3$Windows_X86_64 LibreOffice_project/33e196637044ead23f5c3226cde09b47731f7e27</Application>
  <AppVersion>15.0000</AppVersion>
  <Pages>3</Pages>
  <Words>539</Words>
  <Characters>3619</Characters>
  <CharactersWithSpaces>4079</CharactersWithSpaces>
  <Paragraphs>72</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2022-08-29T05:54:00Z</dcterms:created>
  <dc:creator>1-1</dc:creator>
  <dc:description/>
  <dc:language>uk-UA</dc:language>
  <cp:lastModifiedBy/>
  <cp:lastPrinted>2020-07-03T08:18:00Z</cp:lastPrinted>
  <dcterms:modified xsi:type="dcterms:W3CDTF">2026-08-17T09:35:07Z</dcterms:modified>
  <cp:revision>64</cp:revision>
  <dc:subject/>
  <dc:title>£</dc:title>
</cp:coreProperties>
</file>

<file path=docProps/custom.xml><?xml version="1.0" encoding="utf-8"?>
<Properties xmlns="http://schemas.openxmlformats.org/officeDocument/2006/custom-properties" xmlns:vt="http://schemas.openxmlformats.org/officeDocument/2006/docPropsVTypes"/>
</file>