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hanging="0" w:left="4819"/>
        <w:jc w:val="left"/>
        <w:rPr>
          <w:bCs/>
        </w:rPr>
      </w:pPr>
      <w:r>
        <w:rPr>
          <w:bCs/>
        </w:rPr>
        <w:t>Додаток</w:t>
      </w:r>
    </w:p>
    <w:p>
      <w:pPr>
        <w:pStyle w:val="Normal"/>
        <w:ind w:hanging="0" w:left="4819"/>
        <w:jc w:val="left"/>
        <w:rPr>
          <w:bCs/>
        </w:rPr>
      </w:pPr>
      <w:r>
        <w:rPr>
          <w:bCs/>
        </w:rPr>
        <w:t xml:space="preserve">до Наказу </w:t>
      </w:r>
    </w:p>
    <w:p>
      <w:pPr>
        <w:pStyle w:val="Normal"/>
        <w:ind w:hanging="0" w:left="4819"/>
        <w:jc w:val="left"/>
        <w:rPr>
          <w:bCs/>
        </w:rPr>
      </w:pPr>
      <w:r>
        <w:rPr>
          <w:bCs/>
        </w:rPr>
        <w:t xml:space="preserve">Головного управління </w:t>
      </w:r>
    </w:p>
    <w:p>
      <w:pPr>
        <w:pStyle w:val="Normal"/>
        <w:ind w:hanging="0" w:left="4819"/>
        <w:jc w:val="left"/>
        <w:rPr>
          <w:bCs/>
        </w:rPr>
      </w:pPr>
      <w:r>
        <w:rPr>
          <w:bCs/>
        </w:rPr>
        <w:t xml:space="preserve">Пенсійного фонду України в м. Києві </w:t>
      </w:r>
    </w:p>
    <w:p>
      <w:pPr>
        <w:pStyle w:val="Normal"/>
        <w:ind w:hanging="0" w:left="4819"/>
        <w:jc w:val="left"/>
        <w:rPr>
          <w:bCs/>
        </w:rPr>
      </w:pPr>
      <w:r>
        <w:rPr/>
        <w:t>від “17” серпня 2026 року №________</w:t>
      </w:r>
    </w:p>
    <w:p>
      <w:pPr>
        <w:pStyle w:val="Normal"/>
        <w:jc w:val="center"/>
        <w:rPr>
          <w:bCs/>
          <w:szCs w:val="24"/>
        </w:rPr>
      </w:pPr>
      <w:r>
        <w:rPr>
          <w:b w:val="false"/>
          <w:bCs/>
          <w:i w:val="false"/>
          <w:szCs w:val="28"/>
          <w:lang w:val="uk-UA"/>
        </w:rPr>
      </w:r>
    </w:p>
    <w:p>
      <w:pPr>
        <w:pStyle w:val="Normal"/>
        <w:jc w:val="center"/>
        <w:rPr>
          <w:bCs/>
          <w:szCs w:val="24"/>
        </w:rPr>
      </w:pPr>
      <w:r>
        <w:rPr>
          <w:b w:val="false"/>
          <w:bCs/>
          <w:i w:val="false"/>
          <w:szCs w:val="28"/>
          <w:lang w:val="uk-UA"/>
        </w:rPr>
      </w:r>
    </w:p>
    <w:p>
      <w:pPr>
        <w:pStyle w:val="Normal"/>
        <w:jc w:val="center"/>
        <w:rPr>
          <w:bCs/>
          <w:szCs w:val="24"/>
        </w:rPr>
      </w:pPr>
      <w:r>
        <w:rPr>
          <w:b w:val="false"/>
          <w:bCs/>
          <w:i w:val="false"/>
          <w:szCs w:val="28"/>
          <w:lang w:val="uk-UA"/>
        </w:rPr>
        <w:t>Умови</w:t>
      </w:r>
    </w:p>
    <w:p>
      <w:pPr>
        <w:pStyle w:val="Normal"/>
        <w:jc w:val="center"/>
        <w:rPr/>
      </w:pPr>
      <w:r>
        <w:rPr>
          <w:bCs/>
          <w:szCs w:val="24"/>
        </w:rPr>
        <w:t xml:space="preserve">проведення добору </w:t>
      </w:r>
      <w:r>
        <w:rPr>
          <w:bCs/>
          <w:szCs w:val="28"/>
        </w:rPr>
        <w:t xml:space="preserve">на зайняття посади державної служби категорії «В» - головного спеціаліста </w:t>
      </w:r>
      <w:r>
        <w:rPr>
          <w:rFonts w:eastAsia="Arial Unicode MS"/>
          <w:b w:val="false"/>
          <w:bCs w:val="false"/>
        </w:rPr>
        <w:t xml:space="preserve">відділу </w:t>
      </w:r>
      <w:r>
        <w:rPr>
          <w:b w:val="false"/>
          <w:bCs w:val="false"/>
        </w:rPr>
        <w:t>перерахунків пенсій № 5</w:t>
      </w:r>
      <w:r>
        <w:rPr/>
        <w:t xml:space="preserve"> управління пенсійного забезпечення, надання страхових виплат та соціальних послуг  </w:t>
      </w:r>
    </w:p>
    <w:p>
      <w:pPr>
        <w:pStyle w:val="Normal"/>
        <w:ind w:hanging="0"/>
        <w:jc w:val="center"/>
        <w:rPr>
          <w:i/>
          <w:iCs/>
        </w:rPr>
      </w:pPr>
      <w:r>
        <w:rPr>
          <w:i/>
          <w:iCs/>
        </w:rPr>
        <w:t>(вул. Керченська, 5а)</w:t>
      </w:r>
    </w:p>
    <w:tbl>
      <w:tblPr>
        <w:tblW w:w="9782" w:type="dxa"/>
        <w:jc w:val="left"/>
        <w:tblInd w:w="13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38"/>
        <w:gridCol w:w="45"/>
        <w:gridCol w:w="2916"/>
        <w:gridCol w:w="30"/>
        <w:gridCol w:w="15"/>
        <w:gridCol w:w="6238"/>
      </w:tblGrid>
      <w:tr>
        <w:trPr/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firstLine="181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Загальні умови</w:t>
            </w:r>
          </w:p>
        </w:tc>
      </w:tr>
      <w:tr>
        <w:trPr/>
        <w:tc>
          <w:tcPr>
            <w:tcW w:w="3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Посадові обов’язки</w:t>
            </w:r>
          </w:p>
        </w:tc>
        <w:tc>
          <w:tcPr>
            <w:tcW w:w="6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7"/>
              </w:numPr>
              <w:tabs>
                <w:tab w:val="clear" w:pos="720"/>
              </w:tabs>
              <w:spacing w:lineRule="auto" w:line="240"/>
              <w:ind w:firstLine="360" w:left="0"/>
              <w:rPr>
                <w:color w:val="000000"/>
              </w:rPr>
            </w:pPr>
            <w:bookmarkStart w:id="0" w:name="n85"/>
            <w:bookmarkStart w:id="1" w:name="n186"/>
            <w:bookmarkStart w:id="2" w:name="n92"/>
            <w:bookmarkEnd w:id="0"/>
            <w:bookmarkEnd w:id="1"/>
            <w:bookmarkEnd w:id="2"/>
            <w:r>
              <w:rPr>
                <w:color w:val="000000"/>
              </w:rPr>
              <w:t>В умовах екстериторіальності та єдиної черги спеціалістів:</w:t>
            </w:r>
          </w:p>
          <w:p>
            <w:pPr>
              <w:pStyle w:val="Normal"/>
              <w:spacing w:lineRule="auto" w:line="240"/>
              <w:ind w:firstLine="360"/>
              <w:rPr>
                <w:color w:val="000000"/>
              </w:rPr>
            </w:pPr>
            <w:r>
              <w:rPr>
                <w:color w:val="000000"/>
              </w:rPr>
              <w:t>- опрацювання документів наданих для перерахунку пенсій, здійснення підготовки рішень про перерахунок пенсії, щомісячного довічного грошового утримання, продовження виплати пенсії, переведення з одного виду пенсії на інший, поновлення виплати пенсії, державних соціальних допомог та компенсаційних виплат з дотриманням норм чинного законодавства та у визначені терміни, візування прийнятого рішення електронним цифровим підписом;</w:t>
            </w:r>
          </w:p>
          <w:p>
            <w:pPr>
              <w:pStyle w:val="ListParagraph"/>
              <w:spacing w:lineRule="auto" w:line="240"/>
              <w:ind w:firstLine="360" w:left="0"/>
              <w:rPr>
                <w:color w:val="000000"/>
              </w:rPr>
            </w:pPr>
            <w:r>
              <w:rPr>
                <w:color w:val="000000"/>
              </w:rPr>
              <w:t>- підготовка обґрунтованого рішення про відмову в перерахунку пенсії, щомісячного довічного грошового утримання у терміни, визначені законодавством, підписання його та візування відмовної ЕПС електронним цифровим підписом.</w:t>
            </w:r>
          </w:p>
          <w:p>
            <w:pPr>
              <w:pStyle w:val="ListParagraph"/>
              <w:numPr>
                <w:ilvl w:val="0"/>
                <w:numId w:val="1"/>
              </w:numPr>
              <w:spacing w:lineRule="auto" w:line="240"/>
              <w:ind w:firstLine="360" w:left="0"/>
              <w:rPr/>
            </w:pPr>
            <w:r>
              <w:rPr/>
              <w:t>Підготовка повідомлень територіальним управлінням за місцем перебування пенсійної справи на обліку щодо необхідності доопрацювання звернень за перерахунком пенсії, якщо прийняте рішення потребувало опрацювання в декілька етапів. Направлення та опрацювання запитів електронних пенсійних справ взяття на облік за новим місцем проживання по підтвердженим запитам з дотриманням встановлених термінів. Здійснення верифікації пенсійних виплат за рекомендаціями Міністерства фінансів України у встановлені терміни та вживання заходів для усунення виявлених невідповідностей.</w:t>
            </w:r>
          </w:p>
          <w:p>
            <w:pPr>
              <w:pStyle w:val="ListParagraph"/>
              <w:numPr>
                <w:ilvl w:val="0"/>
                <w:numId w:val="1"/>
              </w:numPr>
              <w:spacing w:lineRule="auto" w:line="240"/>
              <w:ind w:firstLine="360" w:left="0"/>
              <w:rPr/>
            </w:pPr>
            <w:r>
              <w:rPr>
                <w:szCs w:val="28"/>
              </w:rPr>
              <w:t>Розгляд та опрацювання прийнятих документів для продовження виплати пенсії у разі втрати годувальника та по інвалідності з додержанням вимог чинного законодавства.</w:t>
            </w:r>
          </w:p>
          <w:p>
            <w:pPr>
              <w:pStyle w:val="ListParagraph"/>
              <w:numPr>
                <w:ilvl w:val="0"/>
                <w:numId w:val="1"/>
              </w:numPr>
              <w:spacing w:lineRule="auto" w:line="240"/>
              <w:ind w:firstLine="360" w:left="0"/>
              <w:rPr/>
            </w:pPr>
            <w:r>
              <w:rPr/>
              <w:t>Перевірка правильності та повноти автоматизованих перерахунків пенсій, опрацювання кандидатів на індивідуально-масовий перерахунок до проведення нарахування пенсій. Здійснення перерахунку, допризначення пенсій з урахуванням документів, достовірність яких підтверджена результатами проведених зустрічних перевірок.</w:t>
            </w:r>
          </w:p>
          <w:p>
            <w:pPr>
              <w:pStyle w:val="ListParagraph"/>
              <w:numPr>
                <w:ilvl w:val="0"/>
                <w:numId w:val="1"/>
              </w:numPr>
              <w:spacing w:lineRule="auto" w:line="240"/>
              <w:ind w:firstLine="360" w:left="0"/>
              <w:rPr/>
            </w:pPr>
            <w:r>
              <w:rPr/>
              <w:t>Виконання судових рішень щодо пенсійного забезпечення в межах покладених зобов’язань.</w:t>
            </w:r>
          </w:p>
        </w:tc>
      </w:tr>
      <w:tr>
        <w:trPr/>
        <w:tc>
          <w:tcPr>
            <w:tcW w:w="3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Умови оплати праці</w:t>
            </w:r>
          </w:p>
        </w:tc>
        <w:tc>
          <w:tcPr>
            <w:tcW w:w="6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57" w:right="113"/>
              <w:contextualSpacing/>
              <w:jc w:val="both"/>
              <w:rPr>
                <w:bCs/>
                <w:szCs w:val="28"/>
              </w:rPr>
            </w:pPr>
            <w:r>
              <w:rPr/>
              <w:t>посадовий оклад – 20795 грн згідно із класифікацією посад; доплати, компенсації відповідно до статті 52 Закону України «Про державну службу»; надбавка за вислугу років, премія та грошова допомога відповідно до прикінцевих положень Закону України «Про державний Бюджет України на 2026 рік; надбавка до посадового окладу за ранг державного службовця відповідно до постанови Кабінету Міністрів України від 18 січня 2017 року № 15 «Питання оплати праці працівників державних органів» (із змінами).</w:t>
            </w:r>
          </w:p>
        </w:tc>
      </w:tr>
      <w:tr>
        <w:trPr>
          <w:trHeight w:val="240" w:hRule="atLeast"/>
        </w:trPr>
        <w:tc>
          <w:tcPr>
            <w:tcW w:w="3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Інформація про строковість</w:t>
            </w:r>
          </w:p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чи безстроковість</w:t>
            </w:r>
          </w:p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призначення на посаду</w:t>
            </w:r>
          </w:p>
        </w:tc>
        <w:tc>
          <w:tcPr>
            <w:tcW w:w="6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57" w:right="227"/>
              <w:jc w:val="both"/>
              <w:rPr/>
            </w:pPr>
            <w:r>
              <w:rPr>
                <w:rStyle w:val="csd2c743de"/>
                <w:rFonts w:eastAsia="Times New Roman" w:cs="Times New Roman"/>
                <w:bCs/>
                <w:color w:val="000000"/>
                <w:kern w:val="0"/>
                <w:sz w:val="28"/>
                <w:szCs w:val="28"/>
                <w:lang w:val="uk-UA" w:bidi="ar-SA"/>
              </w:rPr>
              <w:t>Строково, відповідно до Закону України «Про внесення змін до деяких законів України щодо функціонування державної служби та місцевого самоврядування у період дії воєнного стану» від 12 травня 2022 № 2259-ІХ, внесено зміни до Закону України «Про правовий режим воєнного стану».</w:t>
            </w:r>
          </w:p>
          <w:p>
            <w:pPr>
              <w:pStyle w:val="Style16"/>
              <w:spacing w:lineRule="auto" w:line="240" w:before="0" w:after="0"/>
              <w:ind w:hanging="0"/>
              <w:jc w:val="left"/>
              <w:rPr>
                <w:bCs/>
                <w:sz w:val="4"/>
                <w:szCs w:val="28"/>
              </w:rPr>
            </w:pPr>
            <w:r>
              <w:rPr>
                <w:bCs/>
                <w:sz w:val="4"/>
                <w:szCs w:val="28"/>
              </w:rPr>
            </w:r>
          </w:p>
        </w:tc>
      </w:tr>
      <w:tr>
        <w:trPr/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</w:r>
          </w:p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  <w:t>Кваліфікаційні вимоги</w:t>
            </w:r>
          </w:p>
          <w:p>
            <w:pPr>
              <w:pStyle w:val="Normal"/>
              <w:spacing w:lineRule="auto" w:line="240"/>
              <w:ind w:hanging="0" w:right="101"/>
              <w:rPr>
                <w:i/>
                <w:iCs/>
              </w:rPr>
            </w:pPr>
            <w:r>
              <w:rPr>
                <w:b/>
                <w:i/>
                <w:iCs/>
              </w:rPr>
              <w:t>Обов’язковою</w:t>
            </w:r>
            <w:r>
              <w:rPr>
                <w:b/>
                <w:i/>
                <w:iCs/>
                <w:spacing w:val="80"/>
              </w:rPr>
              <w:t xml:space="preserve"> </w:t>
            </w:r>
            <w:r>
              <w:rPr>
                <w:b/>
                <w:i/>
                <w:iCs/>
              </w:rPr>
              <w:t>вимогою</w:t>
            </w:r>
            <w:r>
              <w:rPr>
                <w:b/>
                <w:i/>
                <w:iCs/>
                <w:spacing w:val="80"/>
              </w:rPr>
              <w:t xml:space="preserve"> </w:t>
            </w:r>
            <w:r>
              <w:rPr>
                <w:b/>
                <w:i/>
                <w:iCs/>
              </w:rPr>
              <w:t>до</w:t>
            </w:r>
            <w:r>
              <w:rPr>
                <w:b/>
                <w:i/>
                <w:iCs/>
                <w:spacing w:val="80"/>
              </w:rPr>
              <w:t xml:space="preserve"> </w:t>
            </w:r>
            <w:r>
              <w:rPr>
                <w:b/>
                <w:i/>
                <w:iCs/>
              </w:rPr>
              <w:t>осіб,</w:t>
            </w:r>
            <w:r>
              <w:rPr>
                <w:b/>
                <w:i/>
                <w:iCs/>
                <w:spacing w:val="80"/>
              </w:rPr>
              <w:t xml:space="preserve"> </w:t>
            </w:r>
            <w:r>
              <w:rPr>
                <w:b/>
                <w:i/>
                <w:iCs/>
              </w:rPr>
              <w:t>які</w:t>
            </w:r>
            <w:r>
              <w:rPr>
                <w:b/>
                <w:i/>
                <w:iCs/>
                <w:spacing w:val="80"/>
              </w:rPr>
              <w:t xml:space="preserve"> </w:t>
            </w:r>
            <w:r>
              <w:rPr>
                <w:b/>
                <w:i/>
                <w:iCs/>
              </w:rPr>
              <w:t>претендують</w:t>
            </w:r>
            <w:r>
              <w:rPr>
                <w:b/>
                <w:i/>
                <w:iCs/>
                <w:spacing w:val="80"/>
              </w:rPr>
              <w:t xml:space="preserve"> </w:t>
            </w:r>
            <w:r>
              <w:rPr>
                <w:b/>
                <w:i/>
                <w:iCs/>
              </w:rPr>
              <w:t>на</w:t>
            </w:r>
            <w:r>
              <w:rPr>
                <w:b/>
                <w:i/>
                <w:iCs/>
                <w:spacing w:val="80"/>
              </w:rPr>
              <w:t xml:space="preserve"> </w:t>
            </w:r>
            <w:r>
              <w:rPr>
                <w:b/>
                <w:i/>
                <w:iCs/>
              </w:rPr>
              <w:t>посаду,</w:t>
            </w:r>
            <w:r>
              <w:rPr>
                <w:b/>
                <w:i/>
                <w:iCs/>
                <w:spacing w:val="80"/>
              </w:rPr>
              <w:t xml:space="preserve"> </w:t>
            </w:r>
            <w:r>
              <w:rPr>
                <w:b/>
                <w:i/>
                <w:iCs/>
              </w:rPr>
              <w:t>є наявність</w:t>
            </w:r>
            <w:r>
              <w:rPr>
                <w:b/>
                <w:i/>
                <w:iCs/>
                <w:spacing w:val="-1"/>
              </w:rPr>
              <w:t xml:space="preserve"> </w:t>
            </w:r>
            <w:r>
              <w:rPr>
                <w:b/>
                <w:i/>
                <w:iCs/>
              </w:rPr>
              <w:t xml:space="preserve">громадянства України та відсутність громадянства інших </w:t>
            </w:r>
            <w:r>
              <w:rPr>
                <w:b/>
                <w:i/>
                <w:iCs/>
                <w:spacing w:val="-2"/>
              </w:rPr>
              <w:t>держав.</w:t>
            </w:r>
          </w:p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</w:r>
          </w:p>
        </w:tc>
      </w:tr>
      <w:tr>
        <w:trPr/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Освіта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szCs w:val="28"/>
              </w:rPr>
              <w:t>вища освіта за освітнім ступенем не нижче бакалавра, молодшого бакалавра</w:t>
            </w:r>
          </w:p>
        </w:tc>
      </w:tr>
      <w:tr>
        <w:trPr/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Досвід роботи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 w:left="28"/>
              <w:rPr>
                <w:bCs/>
                <w:szCs w:val="28"/>
              </w:rPr>
            </w:pPr>
            <w:r>
              <w:rPr>
                <w:szCs w:val="28"/>
                <w:shd w:fill="FFFFFF" w:val="clear"/>
              </w:rPr>
              <w:t>не потребує</w:t>
            </w:r>
          </w:p>
        </w:tc>
      </w:tr>
      <w:tr>
        <w:trPr>
          <w:trHeight w:val="495" w:hRule="atLeast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Володіння державною мовою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szCs w:val="28"/>
              </w:rPr>
              <w:t>вільне володіння державною мовою</w:t>
            </w:r>
          </w:p>
        </w:tc>
      </w:tr>
      <w:tr>
        <w:trPr>
          <w:trHeight w:val="450" w:hRule="atLeast"/>
        </w:trPr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Вимоги до компетентності</w:t>
            </w:r>
          </w:p>
        </w:tc>
      </w:tr>
      <w:tr>
        <w:trPr>
          <w:trHeight w:val="437" w:hRule="atLeast"/>
        </w:trPr>
        <w:tc>
          <w:tcPr>
            <w:tcW w:w="35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Вимога</w:t>
            </w:r>
          </w:p>
        </w:tc>
        <w:tc>
          <w:tcPr>
            <w:tcW w:w="6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Компоненти вимоги</w:t>
            </w:r>
          </w:p>
        </w:tc>
      </w:tr>
      <w:tr>
        <w:trPr>
          <w:trHeight w:val="311" w:hRule="atLeast"/>
        </w:trPr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1.</w:t>
            </w:r>
          </w:p>
        </w:tc>
        <w:tc>
          <w:tcPr>
            <w:tcW w:w="2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jc w:val="left"/>
              <w:rPr>
                <w:szCs w:val="28"/>
              </w:rPr>
            </w:pPr>
            <w:r>
              <w:rPr>
                <w:color w:val="000000"/>
                <w:szCs w:val="28"/>
              </w:rPr>
              <w:t>Якісне виконання поставлених завдань</w:t>
            </w:r>
          </w:p>
        </w:tc>
        <w:tc>
          <w:tcPr>
            <w:tcW w:w="6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398" w:leader="none"/>
              </w:tabs>
              <w:spacing w:lineRule="auto" w:line="240"/>
              <w:ind w:firstLine="169"/>
              <w:jc w:val="left"/>
              <w:rPr>
                <w:color w:val="000000"/>
                <w:szCs w:val="28"/>
              </w:rPr>
            </w:pPr>
            <w:r>
              <w:rPr>
                <w:szCs w:val="28"/>
              </w:rPr>
              <w:t xml:space="preserve">- </w:t>
            </w:r>
            <w:r>
              <w:rPr>
                <w:color w:val="000000"/>
                <w:szCs w:val="28"/>
              </w:rPr>
              <w:t>чітке і точне формулювання мети, цілей і завдань службової діяльності;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398" w:leader="none"/>
              </w:tabs>
              <w:spacing w:lineRule="auto" w:line="240"/>
              <w:ind w:firstLine="169"/>
              <w:jc w:val="left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- комплексний підхід до виконання завдань, виявлення ризиків;</w:t>
            </w:r>
          </w:p>
          <w:p>
            <w:pPr>
              <w:pStyle w:val="ListParagraph"/>
              <w:spacing w:lineRule="auto" w:line="240"/>
              <w:ind w:firstLine="169" w:left="20"/>
              <w:jc w:val="left"/>
              <w:rPr>
                <w:szCs w:val="28"/>
              </w:rPr>
            </w:pPr>
            <w:r>
              <w:rPr>
                <w:color w:val="000000"/>
                <w:szCs w:val="28"/>
              </w:rPr>
              <w:t>- розуміння змісту завдання і його кінцевих результатів, самостійне визначення можливих шляхів досягнення.</w:t>
            </w:r>
          </w:p>
        </w:tc>
      </w:tr>
      <w:tr>
        <w:trPr>
          <w:trHeight w:val="540" w:hRule="atLeast"/>
        </w:trPr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2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 w:left="32" w:right="10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Відповідальність, к</w:t>
            </w:r>
            <w:r>
              <w:rPr>
                <w:color w:val="000000"/>
                <w:sz w:val="28"/>
                <w:szCs w:val="28"/>
              </w:rPr>
              <w:t>омандна робота та взаємодія</w:t>
            </w:r>
          </w:p>
        </w:tc>
        <w:tc>
          <w:tcPr>
            <w:tcW w:w="6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- усвідомлення важливості якісного виконання своїх посадових обов'язків з дотриманням строків та встановлених процедур;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- усвідомлення рівня відповідальності під час підготовки і прийняття рішень, готовність нести відповідальність за можливі наслідки реалізації таких рішень;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- здатність брати на себе зобов’язання, чітко їх дотримуватись і виконувати;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bCs/>
                <w:szCs w:val="28"/>
              </w:rPr>
            </w:pPr>
            <w:r>
              <w:rPr>
                <w:color w:val="000000"/>
                <w:szCs w:val="28"/>
              </w:rPr>
              <w:t>- вміння працювати в команді</w:t>
            </w:r>
            <w:r>
              <w:rPr>
                <w:color w:val="000000"/>
                <w:sz w:val="28"/>
                <w:szCs w:val="28"/>
              </w:rPr>
              <w:t xml:space="preserve"> та командної взаємодії.</w:t>
            </w:r>
          </w:p>
        </w:tc>
      </w:tr>
      <w:tr>
        <w:trPr>
          <w:trHeight w:val="2203" w:hRule="atLeast"/>
        </w:trPr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3.</w:t>
            </w:r>
          </w:p>
        </w:tc>
        <w:tc>
          <w:tcPr>
            <w:tcW w:w="2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ind w:hanging="0" w:right="106"/>
              <w:rPr>
                <w:bCs/>
                <w:szCs w:val="28"/>
              </w:rPr>
            </w:pPr>
            <w:r>
              <w:rPr>
                <w:bCs/>
                <w:color w:val="000000"/>
                <w:szCs w:val="28"/>
              </w:rPr>
              <w:t>Аналітичні здібності та о</w:t>
            </w:r>
            <w:r>
              <w:rPr>
                <w:bCs/>
                <w:color w:val="000000"/>
                <w:sz w:val="28"/>
                <w:szCs w:val="28"/>
              </w:rPr>
              <w:t>бґрунтування власної позиції</w:t>
            </w:r>
          </w:p>
        </w:tc>
        <w:tc>
          <w:tcPr>
            <w:tcW w:w="6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36" w:leader="none"/>
                <w:tab w:val="left" w:pos="5690" w:leader="none"/>
              </w:tabs>
              <w:spacing w:lineRule="auto" w:line="240"/>
              <w:ind w:firstLine="169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-здатність до логічного мислення, узагальнення, конкретизації, розкладання складних питань на складові, виділяти головне від другорядного, виявляти закономірності;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- вміння встановлювати причинно-наслідкові зв’язки;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36" w:leader="none"/>
                <w:tab w:val="left" w:pos="5690" w:leader="none"/>
              </w:tabs>
              <w:spacing w:lineRule="auto" w:line="240"/>
              <w:ind w:firstLine="169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- вміння аналізувати інформацію та робити висновки, критично оцінювати ситуації, прогнозувати та робити власні умовиводи</w:t>
            </w:r>
            <w:r>
              <w:rPr>
                <w:bCs/>
                <w:color w:val="000000"/>
                <w:szCs w:val="28"/>
              </w:rPr>
              <w:t>.</w:t>
            </w:r>
          </w:p>
        </w:tc>
      </w:tr>
      <w:tr>
        <w:trPr>
          <w:trHeight w:val="756" w:hRule="atLeast"/>
        </w:trPr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</w:r>
          </w:p>
          <w:p>
            <w:pPr>
              <w:pStyle w:val="Normal"/>
              <w:spacing w:lineRule="auto" w:line="24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Професійні знання</w:t>
            </w:r>
          </w:p>
        </w:tc>
      </w:tr>
      <w:tr>
        <w:trPr>
          <w:trHeight w:val="255" w:hRule="atLeast"/>
        </w:trPr>
        <w:tc>
          <w:tcPr>
            <w:tcW w:w="35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  <w:t>Вимога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rPr>
                <w:b/>
                <w:szCs w:val="28"/>
              </w:rPr>
            </w:pPr>
            <w:r>
              <w:rPr>
                <w:b/>
                <w:szCs w:val="28"/>
              </w:rPr>
              <w:t>Компоненти вимоги</w:t>
            </w:r>
          </w:p>
        </w:tc>
      </w:tr>
      <w:tr>
        <w:trPr>
          <w:trHeight w:val="1090" w:hRule="atLeast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Знання законодавства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rPr>
                <w:szCs w:val="28"/>
              </w:rPr>
            </w:pPr>
            <w:r>
              <w:rPr>
                <w:szCs w:val="28"/>
              </w:rPr>
              <w:t>Знання:</w:t>
            </w:r>
          </w:p>
          <w:p>
            <w:pPr>
              <w:pStyle w:val="Normal"/>
              <w:tabs>
                <w:tab w:val="clear" w:pos="720"/>
                <w:tab w:val="left" w:pos="286" w:leader="none"/>
              </w:tabs>
              <w:ind w:firstLine="154"/>
              <w:rPr>
                <w:szCs w:val="28"/>
              </w:rPr>
            </w:pPr>
            <w:r>
              <w:rPr>
                <w:szCs w:val="28"/>
              </w:rPr>
              <w:t>-  Конституції України;</w:t>
            </w:r>
          </w:p>
          <w:p>
            <w:pPr>
              <w:pStyle w:val="Normal"/>
              <w:tabs>
                <w:tab w:val="clear" w:pos="720"/>
                <w:tab w:val="left" w:pos="286" w:leader="none"/>
              </w:tabs>
              <w:ind w:firstLine="154"/>
              <w:rPr>
                <w:szCs w:val="28"/>
              </w:rPr>
            </w:pPr>
            <w:r>
              <w:rPr>
                <w:szCs w:val="28"/>
              </w:rPr>
              <w:t>-  Закону України «Про запобігання корупції»;</w:t>
            </w:r>
          </w:p>
          <w:p>
            <w:pPr>
              <w:pStyle w:val="Normal"/>
              <w:tabs>
                <w:tab w:val="clear" w:pos="720"/>
                <w:tab w:val="left" w:pos="286" w:leader="none"/>
              </w:tabs>
              <w:ind w:firstLine="154"/>
              <w:rPr>
                <w:szCs w:val="28"/>
              </w:rPr>
            </w:pPr>
            <w:r>
              <w:rPr>
                <w:szCs w:val="28"/>
              </w:rPr>
              <w:t>-  Закону України «Про державну службу»;</w:t>
            </w:r>
          </w:p>
          <w:p>
            <w:pPr>
              <w:pStyle w:val="Normal"/>
              <w:tabs>
                <w:tab w:val="clear" w:pos="720"/>
                <w:tab w:val="left" w:pos="286" w:leader="none"/>
                <w:tab w:val="left" w:pos="317" w:leader="none"/>
              </w:tabs>
              <w:ind w:firstLine="154"/>
              <w:rPr>
                <w:szCs w:val="28"/>
                <w:lang w:val="ru-RU" w:eastAsia="uk-UA"/>
              </w:rPr>
            </w:pPr>
            <w:r>
              <w:rPr>
                <w:szCs w:val="28"/>
              </w:rPr>
              <w:t xml:space="preserve">- </w:t>
            </w:r>
            <w:r>
              <w:rPr>
                <w:szCs w:val="28"/>
                <w:lang w:eastAsia="uk-UA"/>
              </w:rPr>
              <w:t>Закону України “Про доступ до публічної інформації”</w:t>
            </w:r>
          </w:p>
          <w:p>
            <w:pPr>
              <w:pStyle w:val="Normal"/>
              <w:tabs>
                <w:tab w:val="clear" w:pos="720"/>
                <w:tab w:val="left" w:pos="286" w:leader="none"/>
                <w:tab w:val="left" w:pos="317" w:leader="none"/>
              </w:tabs>
              <w:ind w:firstLine="154"/>
              <w:rPr>
                <w:szCs w:val="28"/>
                <w:lang w:val="ru-RU" w:eastAsia="uk-UA"/>
              </w:rPr>
            </w:pPr>
            <w:r>
              <w:rPr>
                <w:szCs w:val="28"/>
                <w:lang w:val="ru-RU" w:eastAsia="uk-UA"/>
              </w:rPr>
              <w:t xml:space="preserve">- </w:t>
            </w:r>
            <w:r>
              <w:rPr>
                <w:szCs w:val="28"/>
                <w:lang w:eastAsia="uk-UA"/>
              </w:rPr>
              <w:t>Закону України “Про захист персональних даних”.</w:t>
            </w:r>
          </w:p>
        </w:tc>
      </w:tr>
      <w:tr>
        <w:trPr>
          <w:trHeight w:val="807" w:hRule="atLeast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Знання законодавства у сфері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Знання:</w:t>
            </w:r>
          </w:p>
          <w:p>
            <w:pPr>
              <w:pStyle w:val="Normal"/>
              <w:spacing w:lineRule="auto" w:line="240"/>
              <w:ind w:firstLine="175"/>
              <w:rPr>
                <w:szCs w:val="28"/>
              </w:rPr>
            </w:pPr>
            <w:r>
              <w:rPr>
                <w:szCs w:val="28"/>
              </w:rPr>
              <w:t>-   Закону України “Про прокуратуру”;</w:t>
            </w:r>
          </w:p>
          <w:p>
            <w:pPr>
              <w:pStyle w:val="Normal"/>
              <w:spacing w:lineRule="auto" w:line="240"/>
              <w:ind w:firstLine="175"/>
              <w:rPr>
                <w:szCs w:val="28"/>
              </w:rPr>
            </w:pPr>
            <w:r>
              <w:rPr>
                <w:szCs w:val="28"/>
              </w:rPr>
              <w:t>- Закону України «Про загальнообов’язкове державне пенсійне страхування»;</w:t>
            </w:r>
          </w:p>
          <w:p>
            <w:pPr>
              <w:pStyle w:val="Normal"/>
              <w:spacing w:lineRule="auto" w:line="240"/>
              <w:ind w:firstLine="175"/>
              <w:rPr>
                <w:szCs w:val="28"/>
              </w:rPr>
            </w:pPr>
            <w:r>
              <w:rPr>
                <w:szCs w:val="28"/>
              </w:rPr>
              <w:t>- Закону України “Про статус і соціальний захист громадян, які постраждали  внаслідок Чорнобильської катастрофи”;</w:t>
            </w:r>
          </w:p>
          <w:p>
            <w:pPr>
              <w:pStyle w:val="Normal"/>
              <w:spacing w:lineRule="auto" w:line="240"/>
              <w:ind w:firstLine="175"/>
              <w:rPr>
                <w:szCs w:val="28"/>
              </w:rPr>
            </w:pPr>
            <w:r>
              <w:rPr>
                <w:szCs w:val="28"/>
              </w:rPr>
              <w:t>-  Закону України “Про пенсії за особливі заслуги перед Україною”;</w:t>
            </w:r>
          </w:p>
          <w:p>
            <w:pPr>
              <w:pStyle w:val="Normal"/>
              <w:spacing w:lineRule="auto" w:line="240"/>
              <w:ind w:firstLine="175"/>
              <w:rPr>
                <w:szCs w:val="28"/>
              </w:rPr>
            </w:pPr>
            <w:r>
              <w:rPr>
                <w:szCs w:val="28"/>
              </w:rPr>
              <w:t>- Закону України «Про пенсійне забезпечення осіб, звільнених з військової служби, та деяких інших осіб»;</w:t>
            </w:r>
          </w:p>
          <w:p>
            <w:pPr>
              <w:pStyle w:val="Normal"/>
              <w:spacing w:lineRule="auto" w:line="240"/>
              <w:ind w:firstLine="175"/>
              <w:rPr>
                <w:szCs w:val="28"/>
              </w:rPr>
            </w:pPr>
            <w:r>
              <w:rPr>
                <w:szCs w:val="28"/>
              </w:rPr>
              <w:t>- Закону України «Про звернення громадян»;</w:t>
            </w:r>
          </w:p>
          <w:p>
            <w:pPr>
              <w:pStyle w:val="Normal"/>
              <w:spacing w:lineRule="auto" w:line="240"/>
              <w:ind w:firstLine="175"/>
              <w:rPr>
                <w:szCs w:val="28"/>
              </w:rPr>
            </w:pPr>
            <w:r>
              <w:rPr>
                <w:szCs w:val="28"/>
              </w:rPr>
              <w:t>- Постанова Пенсійного фонду України «Про порядок подання та оформлення документів для призначення (перерахунків) пенсій» відповідно до Закону України «Про загальнообов’язкове державне пенсійне страхування» № 22-1 від  25.11.2005.</w:t>
            </w:r>
          </w:p>
          <w:p>
            <w:pPr>
              <w:pStyle w:val="Normal"/>
              <w:spacing w:lineRule="auto" w:line="240"/>
              <w:ind w:firstLine="175"/>
              <w:rPr>
                <w:szCs w:val="28"/>
              </w:rPr>
            </w:pPr>
            <w:r>
              <w:rPr>
                <w:szCs w:val="28"/>
              </w:rPr>
            </w:r>
          </w:p>
        </w:tc>
      </w:tr>
    </w:tbl>
    <w:p>
      <w:pPr>
        <w:pStyle w:val="Style16"/>
        <w:ind w:hanging="0"/>
        <w:jc w:val="center"/>
        <w:rPr>
          <w:bCs/>
          <w:szCs w:val="28"/>
        </w:rPr>
      </w:pPr>
      <w:r>
        <w:rPr/>
        <w:t>______________________________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567" w:gutter="0" w:header="567" w:top="624" w:footer="0" w:bottom="568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roman"/>
    <w:pitch w:val="variable"/>
  </w:font>
  <w:font w:name="Cambria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Courier New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  <mc:AlternateContent>
        <mc:Choice Requires="wps">
          <w:drawing>
            <wp:anchor behindDoc="1" distT="5080" distB="5080" distL="5715" distR="4445" simplePos="0" locked="0" layoutInCell="0" allowOverlap="1" relativeHeight="2" wp14:anchorId="5144B2A5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769745" cy="1772285"/>
              <wp:effectExtent l="5715" t="5080" r="4445" b="5080"/>
              <wp:wrapNone/>
              <wp:docPr id="1" name="shape_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69760" cy="1772280"/>
                      </a:xfrm>
                      <a:custGeom>
                        <a:avLst/>
                        <a:gdLst>
                          <a:gd name="textAreaLeft" fmla="*/ 0 w 1003320"/>
                          <a:gd name="textAreaRight" fmla="*/ 1006200 w 1003320"/>
                          <a:gd name="textAreaTop" fmla="*/ 0 h 1004760"/>
                          <a:gd name="textAreaBottom" fmla="*/ 1007640 h 1004760"/>
                        </a:gdLst>
                        <a:ahLst/>
                        <a:cxnLst/>
                        <a:rect l="textAreaLeft" t="textAreaTop" r="textAreaRight" b="textAreaBottom"/>
                        <a:pathLst>
                          <a:path w="4918" h="4925">
                            <a:moveTo>
                              <a:pt x="4917" y="4924"/>
                            </a:moveTo>
                            <a:lnTo>
                              <a:pt x="0" y="4924"/>
                            </a:lnTo>
                            <a:lnTo>
                              <a:pt x="0" y="0"/>
                            </a:lnTo>
                            <a:lnTo>
                              <a:pt x="4917" y="0"/>
                            </a:lnTo>
                            <a:lnTo>
                              <a:pt x="4917" y="4924"/>
                            </a:lnTo>
                          </a:path>
                        </a:pathLst>
                      </a:custGeom>
                      <a:noFill/>
                      <a:ln w="9525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>
        <w:sz w:val="20"/>
      </w:rPr>
    </w:pPr>
    <w:r>
      <w:rPr>
        <w:sz w:val="20"/>
      </w:rPr>
      <mc:AlternateContent>
        <mc:Choice Requires="wps">
          <w:drawing>
            <wp:anchor behindDoc="1" distT="5080" distB="5080" distL="5080" distR="5080" simplePos="0" locked="0" layoutInCell="0" allowOverlap="1" relativeHeight="5" wp14:anchorId="5386474C">
              <wp:simplePos x="0" y="0"/>
              <wp:positionH relativeFrom="margin">
                <wp:align>center</wp:align>
              </wp:positionH>
              <wp:positionV relativeFrom="paragraph">
                <wp:posOffset>-23589615</wp:posOffset>
              </wp:positionV>
              <wp:extent cx="3921760" cy="1408430"/>
              <wp:effectExtent l="5080" t="5080" r="5080" b="5080"/>
              <wp:wrapNone/>
              <wp:docPr id="2" name="shape_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921840" cy="1408320"/>
                      </a:xfrm>
                      <a:custGeom>
                        <a:avLst/>
                        <a:gdLst>
                          <a:gd name="textAreaLeft" fmla="*/ 0 w 2223360"/>
                          <a:gd name="textAreaRight" fmla="*/ 2226240 w 2223360"/>
                          <a:gd name="textAreaTop" fmla="*/ 0 h 798480"/>
                          <a:gd name="textAreaBottom" fmla="*/ 801360 h 798480"/>
                        </a:gdLst>
                        <a:ahLst/>
                        <a:cxnLst/>
                        <a:rect l="textAreaLeft" t="textAreaTop" r="textAreaRight" b="textAreaBottom"/>
                        <a:pathLst>
                          <a:path w="10897" h="3914">
                            <a:moveTo>
                              <a:pt x="10896" y="0"/>
                            </a:moveTo>
                            <a:lnTo>
                              <a:pt x="10896" y="3913"/>
                            </a:lnTo>
                            <a:lnTo>
                              <a:pt x="0" y="3913"/>
                            </a:lnTo>
                            <a:lnTo>
                              <a:pt x="0" y="0"/>
                            </a:lnTo>
                          </a:path>
                        </a:pathLst>
                      </a:custGeom>
                      <a:noFill/>
                      <a:ln w="9525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14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1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00"/>
  <w:embedSystemFonts/>
  <w:defaultTabStop w:val="720"/>
  <w:autoHyphenation w:val="true"/>
  <w:hyphenationZone w:val="425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StepHandle" w:val="262696"/>
  </w:docVars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uk-UA" w:eastAsia="uk-UA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a174f4"/>
    <w:pPr>
      <w:widowControl/>
      <w:suppressAutoHyphens w:val="true"/>
      <w:bidi w:val="0"/>
      <w:spacing w:lineRule="auto" w:line="276" w:before="0" w:after="0"/>
      <w:ind w:firstLine="709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uk-UA" w:eastAsia="ru-RU" w:bidi="ar-SA"/>
    </w:rPr>
  </w:style>
  <w:style w:type="paragraph" w:styleId="Heading1">
    <w:name w:val="heading 1"/>
    <w:basedOn w:val="Normal"/>
    <w:next w:val="Normal"/>
    <w:qFormat/>
    <w:rsid w:val="00783aac"/>
    <w:pPr>
      <w:keepNext w:val="true"/>
      <w:spacing w:before="240" w:after="0"/>
      <w:ind w:left="567"/>
      <w:outlineLvl w:val="0"/>
    </w:pPr>
    <w:rPr>
      <w:b/>
      <w:smallCaps/>
    </w:rPr>
  </w:style>
  <w:style w:type="paragraph" w:styleId="Heading2">
    <w:name w:val="heading 2"/>
    <w:basedOn w:val="Normal"/>
    <w:next w:val="Normal"/>
    <w:qFormat/>
    <w:rsid w:val="00783aac"/>
    <w:pPr>
      <w:keepNext w:val="true"/>
      <w:spacing w:before="120" w:after="0"/>
      <w:ind w:left="567"/>
      <w:outlineLvl w:val="1"/>
    </w:pPr>
    <w:rPr>
      <w:b/>
    </w:rPr>
  </w:style>
  <w:style w:type="paragraph" w:styleId="Heading3">
    <w:name w:val="heading 3"/>
    <w:basedOn w:val="Normal"/>
    <w:next w:val="Normal"/>
    <w:link w:val="311"/>
    <w:unhideWhenUsed/>
    <w:qFormat/>
    <w:rsid w:val="003c0cbd"/>
    <w:pPr>
      <w:keepNext w:val="true"/>
      <w:spacing w:before="120" w:after="0"/>
      <w:ind w:left="567"/>
      <w:outlineLvl w:val="2"/>
    </w:pPr>
    <w:rPr>
      <w:b/>
      <w:i/>
    </w:rPr>
  </w:style>
  <w:style w:type="paragraph" w:styleId="Heading4">
    <w:name w:val="heading 4"/>
    <w:basedOn w:val="Normal"/>
    <w:next w:val="Normal"/>
    <w:qFormat/>
    <w:rsid w:val="00783aac"/>
    <w:pPr>
      <w:keepNext w:val="true"/>
      <w:spacing w:before="120" w:after="0"/>
      <w:ind w:left="567"/>
      <w:outlineLvl w:val="3"/>
    </w:pPr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uiPriority w:val="99"/>
    <w:unhideWhenUsed/>
    <w:rsid w:val="009a0ab5"/>
    <w:rPr>
      <w:color w:val="0000FF"/>
      <w:u w:val="single"/>
    </w:rPr>
  </w:style>
  <w:style w:type="character" w:styleId="Style10" w:customStyle="1">
    <w:name w:val="Текст у виносці Знак"/>
    <w:basedOn w:val="DefaultParagraphFont"/>
    <w:link w:val="BalloonText"/>
    <w:uiPriority w:val="99"/>
    <w:semiHidden/>
    <w:qFormat/>
    <w:rsid w:val="00c6272e"/>
    <w:rPr>
      <w:rFonts w:ascii="Segoe UI" w:hAnsi="Segoe UI" w:cs="Segoe UI"/>
      <w:sz w:val="18"/>
      <w:szCs w:val="18"/>
      <w:lang w:eastAsia="ru-RU"/>
    </w:rPr>
  </w:style>
  <w:style w:type="character" w:styleId="1" w:customStyle="1">
    <w:name w:val="Незакрита згадка1"/>
    <w:basedOn w:val="DefaultParagraphFont"/>
    <w:uiPriority w:val="99"/>
    <w:semiHidden/>
    <w:unhideWhenUsed/>
    <w:qFormat/>
    <w:rsid w:val="0013193b"/>
    <w:rPr>
      <w:color w:val="605E5C"/>
      <w:shd w:fill="E1DFDD" w:val="clear"/>
    </w:rPr>
  </w:style>
  <w:style w:type="character" w:styleId="rvts46" w:customStyle="1">
    <w:name w:val="rvts46"/>
    <w:basedOn w:val="DefaultParagraphFont"/>
    <w:qFormat/>
    <w:rsid w:val="00617106"/>
    <w:rPr/>
  </w:style>
  <w:style w:type="character" w:styleId="rvts37" w:customStyle="1">
    <w:name w:val="rvts37"/>
    <w:basedOn w:val="DefaultParagraphFont"/>
    <w:qFormat/>
    <w:rsid w:val="00617106"/>
    <w:rPr/>
  </w:style>
  <w:style w:type="character" w:styleId="rvts11" w:customStyle="1">
    <w:name w:val="rvts11"/>
    <w:basedOn w:val="DefaultParagraphFont"/>
    <w:qFormat/>
    <w:rsid w:val="00617106"/>
    <w:rPr/>
  </w:style>
  <w:style w:type="character" w:styleId="rvts23" w:customStyle="1">
    <w:name w:val="rvts23"/>
    <w:qFormat/>
    <w:rsid w:val="00280514"/>
    <w:rPr/>
  </w:style>
  <w:style w:type="character" w:styleId="Style11" w:customStyle="1">
    <w:name w:val="Основний текст Знак"/>
    <w:basedOn w:val="DefaultParagraphFont"/>
    <w:qFormat/>
    <w:rsid w:val="000333ef"/>
    <w:rPr>
      <w:sz w:val="28"/>
      <w:lang w:eastAsia="ru-RU"/>
    </w:rPr>
  </w:style>
  <w:style w:type="character" w:styleId="3" w:customStyle="1">
    <w:name w:val="Основний текст з відступом 3 Знак"/>
    <w:basedOn w:val="DefaultParagraphFont"/>
    <w:link w:val="BodyTextIndent3"/>
    <w:uiPriority w:val="99"/>
    <w:qFormat/>
    <w:rsid w:val="001f4aca"/>
    <w:rPr>
      <w:rFonts w:eastAsia="Calibri" w:cs="Times New Roman"/>
      <w:sz w:val="16"/>
      <w:szCs w:val="16"/>
      <w:lang w:eastAsia="en-US"/>
    </w:rPr>
  </w:style>
  <w:style w:type="character" w:styleId="Style12" w:customStyle="1">
    <w:name w:val="Верхний колонтитул Знак"/>
    <w:basedOn w:val="DefaultParagraphFont"/>
    <w:link w:val="14"/>
    <w:uiPriority w:val="99"/>
    <w:qFormat/>
    <w:rsid w:val="00125745"/>
    <w:rPr>
      <w:sz w:val="28"/>
      <w:lang w:eastAsia="ru-RU"/>
    </w:rPr>
  </w:style>
  <w:style w:type="character" w:styleId="FontStyle11" w:customStyle="1">
    <w:name w:val="Font Style11"/>
    <w:basedOn w:val="DefaultParagraphFont"/>
    <w:uiPriority w:val="99"/>
    <w:qFormat/>
    <w:rsid w:val="00d02835"/>
    <w:rPr>
      <w:rFonts w:ascii="Times New Roman" w:hAnsi="Times New Roman" w:cs="Times New Roman"/>
      <w:sz w:val="26"/>
      <w:szCs w:val="26"/>
    </w:rPr>
  </w:style>
  <w:style w:type="character" w:styleId="cs23fb0664" w:customStyle="1">
    <w:name w:val="cs23fb0664"/>
    <w:basedOn w:val="DefaultParagraphFont"/>
    <w:qFormat/>
    <w:rsid w:val="00e23642"/>
    <w:rPr/>
  </w:style>
  <w:style w:type="character" w:styleId="31" w:customStyle="1">
    <w:name w:val="Заголовок 3 Знак"/>
    <w:basedOn w:val="DefaultParagraphFont"/>
    <w:link w:val="312"/>
    <w:qFormat/>
    <w:rsid w:val="00b61a07"/>
    <w:rPr>
      <w:b/>
      <w:i/>
      <w:sz w:val="28"/>
      <w:lang w:eastAsia="ru-RU"/>
    </w:rPr>
  </w:style>
  <w:style w:type="character" w:styleId="Style13" w:customStyle="1">
    <w:name w:val="Верхній колонтитул Знак"/>
    <w:basedOn w:val="DefaultParagraphFont"/>
    <w:qFormat/>
    <w:rsid w:val="0035077f"/>
    <w:rPr>
      <w:sz w:val="28"/>
      <w:lang w:eastAsia="ru-RU"/>
    </w:rPr>
  </w:style>
  <w:style w:type="character" w:styleId="11" w:customStyle="1">
    <w:name w:val="Неразрешенное упоминание1"/>
    <w:basedOn w:val="DefaultParagraphFont"/>
    <w:qFormat/>
    <w:rsid w:val="0035077f"/>
    <w:rPr>
      <w:color w:val="605E5C"/>
      <w:shd w:fill="E1DFDD" w:val="clear"/>
    </w:rPr>
  </w:style>
  <w:style w:type="character" w:styleId="311" w:customStyle="1">
    <w:name w:val="Заголовок 3 Знак1"/>
    <w:basedOn w:val="DefaultParagraphFont"/>
    <w:qFormat/>
    <w:rsid w:val="003c0cbd"/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  <w:sz w:val="28"/>
      <w:lang w:eastAsia="ru-RU"/>
    </w:rPr>
  </w:style>
  <w:style w:type="character" w:styleId="Strong">
    <w:name w:val="Strong"/>
    <w:basedOn w:val="DefaultParagraphFont"/>
    <w:qFormat/>
    <w:rsid w:val="00783aac"/>
    <w:rPr>
      <w:b/>
      <w:bCs/>
    </w:rPr>
  </w:style>
  <w:style w:type="character" w:styleId="csd2c743de">
    <w:name w:val="csd2c743de"/>
    <w:basedOn w:val="DefaultParagraphFont"/>
    <w:qFormat/>
    <w:rPr/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link w:val="Style11"/>
    <w:unhideWhenUsed/>
    <w:rsid w:val="000333ef"/>
    <w:pPr>
      <w:spacing w:lineRule="auto" w:line="240"/>
      <w:ind w:hanging="0"/>
      <w:jc w:val="center"/>
    </w:pPr>
    <w:rPr/>
  </w:style>
  <w:style w:type="paragraph" w:styleId="List">
    <w:name w:val="List"/>
    <w:basedOn w:val="BodyText"/>
    <w:rsid w:val="008e5b22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Покажчик"/>
    <w:basedOn w:val="Normal"/>
    <w:qFormat/>
    <w:pPr>
      <w:suppressLineNumbers/>
    </w:pPr>
    <w:rPr>
      <w:rFonts w:cs="Lucida Sans"/>
    </w:rPr>
  </w:style>
  <w:style w:type="paragraph" w:styleId="user" w:customStyle="1">
    <w:name w:val="Заголовок (user)"/>
    <w:basedOn w:val="Normal"/>
    <w:next w:val="BodyText"/>
    <w:qFormat/>
    <w:rsid w:val="008e5b22"/>
    <w:pPr>
      <w:keepNext w:val="true"/>
      <w:spacing w:before="240" w:after="120"/>
    </w:pPr>
    <w:rPr>
      <w:rFonts w:ascii="Liberation Sans" w:hAnsi="Liberation Sans" w:eastAsia="Microsoft YaHei" w:cs="Lucida Sans"/>
      <w:szCs w:val="28"/>
    </w:rPr>
  </w:style>
  <w:style w:type="paragraph" w:styleId="user1" w:customStyle="1">
    <w:name w:val="Покажчик (user)"/>
    <w:basedOn w:val="Normal"/>
    <w:qFormat/>
    <w:rsid w:val="008e5b22"/>
    <w:pPr>
      <w:suppressLineNumbers/>
    </w:pPr>
    <w:rPr>
      <w:rFonts w:cs="Lucida Sans"/>
    </w:rPr>
  </w:style>
  <w:style w:type="paragraph" w:styleId="caption1">
    <w:name w:val="caption1"/>
    <w:basedOn w:val="Normal"/>
    <w:qFormat/>
    <w:rsid w:val="00333ce0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111" w:customStyle="1">
    <w:name w:val="Заголовок 11"/>
    <w:basedOn w:val="Normal"/>
    <w:next w:val="Normal"/>
    <w:qFormat/>
    <w:rsid w:val="00a0742f"/>
    <w:pPr>
      <w:keepNext w:val="true"/>
      <w:spacing w:before="240" w:after="0"/>
      <w:ind w:left="567"/>
      <w:outlineLvl w:val="0"/>
    </w:pPr>
    <w:rPr>
      <w:b/>
      <w:smallCaps/>
    </w:rPr>
  </w:style>
  <w:style w:type="paragraph" w:styleId="21" w:customStyle="1">
    <w:name w:val="Заголовок 21"/>
    <w:basedOn w:val="Normal"/>
    <w:next w:val="Normal"/>
    <w:qFormat/>
    <w:rsid w:val="00a0742f"/>
    <w:pPr>
      <w:keepNext w:val="true"/>
      <w:spacing w:before="120" w:after="0"/>
      <w:ind w:left="567"/>
      <w:outlineLvl w:val="1"/>
    </w:pPr>
    <w:rPr>
      <w:b/>
    </w:rPr>
  </w:style>
  <w:style w:type="paragraph" w:styleId="312" w:customStyle="1">
    <w:name w:val="Заголовок 31"/>
    <w:basedOn w:val="Normal"/>
    <w:next w:val="Normal"/>
    <w:link w:val="31"/>
    <w:qFormat/>
    <w:rsid w:val="00a0742f"/>
    <w:pPr>
      <w:keepNext w:val="true"/>
      <w:spacing w:before="120" w:after="0"/>
      <w:ind w:left="567"/>
      <w:outlineLvl w:val="2"/>
    </w:pPr>
    <w:rPr>
      <w:b/>
      <w:i/>
    </w:rPr>
  </w:style>
  <w:style w:type="paragraph" w:styleId="41" w:customStyle="1">
    <w:name w:val="Заголовок 41"/>
    <w:basedOn w:val="Normal"/>
    <w:next w:val="Normal"/>
    <w:qFormat/>
    <w:rsid w:val="00a0742f"/>
    <w:pPr>
      <w:keepNext w:val="true"/>
      <w:spacing w:before="120" w:after="0"/>
      <w:ind w:left="567"/>
      <w:outlineLvl w:val="3"/>
    </w:pPr>
    <w:rPr/>
  </w:style>
  <w:style w:type="paragraph" w:styleId="12" w:customStyle="1">
    <w:name w:val="Назва об'єкта1"/>
    <w:basedOn w:val="Normal"/>
    <w:qFormat/>
    <w:rsid w:val="008e5b22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user2" w:customStyle="1">
    <w:name w:val="Верхній і нижній колонтитули (user)"/>
    <w:basedOn w:val="Normal"/>
    <w:qFormat/>
    <w:rsid w:val="0035077f"/>
    <w:pPr/>
    <w:rPr/>
  </w:style>
  <w:style w:type="paragraph" w:styleId="13" w:customStyle="1">
    <w:name w:val="Нижній колонтитул1"/>
    <w:basedOn w:val="Normal"/>
    <w:qFormat/>
    <w:rsid w:val="00a0742f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Style16" w:customStyle="1">
    <w:name w:val="Нормальний текст"/>
    <w:basedOn w:val="Normal"/>
    <w:qFormat/>
    <w:rsid w:val="00a0742f"/>
    <w:pPr>
      <w:spacing w:before="120" w:after="0"/>
      <w:ind w:firstLine="567"/>
    </w:pPr>
    <w:rPr/>
  </w:style>
  <w:style w:type="paragraph" w:styleId="Style17" w:customStyle="1">
    <w:name w:val="Шапка документу"/>
    <w:basedOn w:val="Normal"/>
    <w:qFormat/>
    <w:rsid w:val="00a0742f"/>
    <w:pPr>
      <w:keepNext w:val="true"/>
      <w:keepLines/>
      <w:spacing w:before="0" w:after="240"/>
      <w:ind w:left="4536"/>
      <w:jc w:val="center"/>
    </w:pPr>
    <w:rPr/>
  </w:style>
  <w:style w:type="paragraph" w:styleId="14" w:customStyle="1">
    <w:name w:val="Верхній колонтитул1"/>
    <w:basedOn w:val="Normal"/>
    <w:link w:val="Style12"/>
    <w:uiPriority w:val="99"/>
    <w:qFormat/>
    <w:rsid w:val="00a0742f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15" w:customStyle="1">
    <w:name w:val="Підпис1"/>
    <w:basedOn w:val="Normal"/>
    <w:qFormat/>
    <w:rsid w:val="00a0742f"/>
    <w:pPr>
      <w:keepLines/>
      <w:tabs>
        <w:tab w:val="clear" w:pos="720"/>
        <w:tab w:val="center" w:pos="2268" w:leader="none"/>
        <w:tab w:val="left" w:pos="6804" w:leader="none"/>
      </w:tabs>
      <w:spacing w:before="360" w:after="0"/>
    </w:pPr>
    <w:rPr>
      <w:b/>
      <w:position w:val="-48"/>
    </w:rPr>
  </w:style>
  <w:style w:type="paragraph" w:styleId="Style18" w:customStyle="1">
    <w:name w:val="Глава документу"/>
    <w:basedOn w:val="Normal"/>
    <w:next w:val="Normal"/>
    <w:qFormat/>
    <w:rsid w:val="00a0742f"/>
    <w:pPr>
      <w:keepNext w:val="true"/>
      <w:keepLines/>
      <w:spacing w:before="120" w:after="120"/>
      <w:jc w:val="center"/>
    </w:pPr>
    <w:rPr/>
  </w:style>
  <w:style w:type="paragraph" w:styleId="Style19" w:customStyle="1">
    <w:name w:val="Герб"/>
    <w:basedOn w:val="Normal"/>
    <w:qFormat/>
    <w:rsid w:val="00a0742f"/>
    <w:pPr>
      <w:keepNext w:val="true"/>
      <w:keepLines/>
      <w:jc w:val="center"/>
    </w:pPr>
    <w:rPr>
      <w:sz w:val="144"/>
      <w:lang w:val="en-US"/>
    </w:rPr>
  </w:style>
  <w:style w:type="paragraph" w:styleId="Style20" w:customStyle="1">
    <w:name w:val="Установа"/>
    <w:basedOn w:val="Normal"/>
    <w:qFormat/>
    <w:rsid w:val="00a0742f"/>
    <w:pPr>
      <w:keepNext w:val="true"/>
      <w:keepLines/>
      <w:spacing w:before="120" w:after="0"/>
      <w:jc w:val="center"/>
    </w:pPr>
    <w:rPr>
      <w:b/>
      <w:sz w:val="40"/>
    </w:rPr>
  </w:style>
  <w:style w:type="paragraph" w:styleId="Style21" w:customStyle="1">
    <w:name w:val="Вид документа"/>
    <w:basedOn w:val="Style20"/>
    <w:next w:val="Normal"/>
    <w:qFormat/>
    <w:rsid w:val="00a0742f"/>
    <w:pPr>
      <w:spacing w:before="360" w:after="240"/>
    </w:pPr>
    <w:rPr>
      <w:spacing w:val="20"/>
      <w:sz w:val="26"/>
    </w:rPr>
  </w:style>
  <w:style w:type="paragraph" w:styleId="Style22" w:customStyle="1">
    <w:name w:val="Час та місце"/>
    <w:basedOn w:val="Normal"/>
    <w:qFormat/>
    <w:rsid w:val="00a0742f"/>
    <w:pPr>
      <w:keepNext w:val="true"/>
      <w:keepLines/>
      <w:spacing w:before="120" w:after="240"/>
      <w:jc w:val="center"/>
    </w:pPr>
    <w:rPr/>
  </w:style>
  <w:style w:type="paragraph" w:styleId="Style23" w:customStyle="1">
    <w:name w:val="Назва документа"/>
    <w:basedOn w:val="Normal"/>
    <w:next w:val="Style16"/>
    <w:qFormat/>
    <w:rsid w:val="00a0742f"/>
    <w:pPr>
      <w:keepNext w:val="true"/>
      <w:keepLines/>
      <w:spacing w:before="240" w:after="240"/>
      <w:jc w:val="center"/>
    </w:pPr>
    <w:rPr>
      <w:b/>
    </w:rPr>
  </w:style>
  <w:style w:type="paragraph" w:styleId="NormalText" w:customStyle="1">
    <w:name w:val="Normal Text"/>
    <w:basedOn w:val="Normal"/>
    <w:qFormat/>
    <w:rsid w:val="00a0742f"/>
    <w:pPr>
      <w:ind w:firstLine="567"/>
    </w:pPr>
    <w:rPr/>
  </w:style>
  <w:style w:type="paragraph" w:styleId="ShapkaDocumentu" w:customStyle="1">
    <w:name w:val="Shapka Documentu"/>
    <w:basedOn w:val="NormalText"/>
    <w:qFormat/>
    <w:rsid w:val="00a0742f"/>
    <w:pPr>
      <w:keepNext w:val="true"/>
      <w:keepLines/>
      <w:spacing w:before="0" w:after="240"/>
      <w:ind w:hanging="0" w:left="3969"/>
      <w:jc w:val="center"/>
    </w:pPr>
    <w:rPr/>
  </w:style>
  <w:style w:type="paragraph" w:styleId="Default" w:customStyle="1">
    <w:name w:val="Default"/>
    <w:qFormat/>
    <w:rsid w:val="00131b14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uk-UA" w:eastAsia="uk-UA" w:bidi="ar-SA"/>
    </w:rPr>
  </w:style>
  <w:style w:type="paragraph" w:styleId="BalloonText">
    <w:name w:val="Balloon Text"/>
    <w:basedOn w:val="Normal"/>
    <w:link w:val="Style10"/>
    <w:uiPriority w:val="99"/>
    <w:semiHidden/>
    <w:unhideWhenUsed/>
    <w:qFormat/>
    <w:rsid w:val="00c6272e"/>
    <w:pPr>
      <w:spacing w:lineRule="auto" w:line="240"/>
    </w:pPr>
    <w:rPr>
      <w:rFonts w:ascii="Segoe UI" w:hAnsi="Segoe UI" w:cs="Segoe UI"/>
      <w:sz w:val="18"/>
      <w:szCs w:val="18"/>
    </w:rPr>
  </w:style>
  <w:style w:type="paragraph" w:styleId="rvps2" w:customStyle="1">
    <w:name w:val="rvps2"/>
    <w:basedOn w:val="Normal"/>
    <w:qFormat/>
    <w:rsid w:val="00617106"/>
    <w:pPr>
      <w:spacing w:lineRule="auto" w:line="240" w:beforeAutospacing="1" w:afterAutospacing="1"/>
      <w:ind w:hanging="0"/>
      <w:jc w:val="left"/>
    </w:pPr>
    <w:rPr>
      <w:sz w:val="24"/>
      <w:szCs w:val="24"/>
    </w:rPr>
  </w:style>
  <w:style w:type="paragraph" w:styleId="NormalWeb">
    <w:name w:val="Normal (Web)"/>
    <w:basedOn w:val="Normal"/>
    <w:qFormat/>
    <w:rsid w:val="00d44706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BodyTextIndent3">
    <w:name w:val="Body Text Indent 3"/>
    <w:basedOn w:val="Normal"/>
    <w:link w:val="3"/>
    <w:uiPriority w:val="99"/>
    <w:unhideWhenUsed/>
    <w:qFormat/>
    <w:rsid w:val="001f4aca"/>
    <w:pPr>
      <w:spacing w:before="0" w:after="120"/>
      <w:ind w:hanging="0" w:left="283"/>
      <w:jc w:val="left"/>
    </w:pPr>
    <w:rPr>
      <w:rFonts w:eastAsia="Calibri"/>
      <w:sz w:val="16"/>
      <w:szCs w:val="16"/>
      <w:lang w:eastAsia="en-US"/>
    </w:rPr>
  </w:style>
  <w:style w:type="paragraph" w:styleId="rvps12" w:customStyle="1">
    <w:name w:val="rvps12"/>
    <w:basedOn w:val="Normal"/>
    <w:qFormat/>
    <w:rsid w:val="00397565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ListParagraph">
    <w:name w:val="List Paragraph"/>
    <w:basedOn w:val="Normal"/>
    <w:uiPriority w:val="34"/>
    <w:qFormat/>
    <w:rsid w:val="00df07ff"/>
    <w:pPr>
      <w:spacing w:before="0" w:after="0"/>
      <w:ind w:left="720"/>
      <w:contextualSpacing/>
    </w:pPr>
    <w:rPr/>
  </w:style>
  <w:style w:type="paragraph" w:styleId="313" w:customStyle="1">
    <w:name w:val="Основной текст (3)1"/>
    <w:basedOn w:val="Normal"/>
    <w:qFormat/>
    <w:rsid w:val="00f2497e"/>
    <w:pPr>
      <w:widowControl w:val="false"/>
      <w:shd w:val="clear" w:color="auto" w:fill="FFFFFF"/>
      <w:spacing w:lineRule="atLeast" w:line="240" w:before="0" w:after="600"/>
      <w:ind w:hanging="0"/>
      <w:jc w:val="left"/>
    </w:pPr>
    <w:rPr>
      <w:rFonts w:ascii="Courier New" w:hAnsi="Courier New"/>
      <w:spacing w:val="2"/>
      <w:sz w:val="17"/>
    </w:rPr>
  </w:style>
  <w:style w:type="paragraph" w:styleId="cs2d0a5422" w:customStyle="1">
    <w:name w:val="cs2d0a5422"/>
    <w:basedOn w:val="Normal"/>
    <w:qFormat/>
    <w:rsid w:val="00e23642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cs7115dbcf" w:customStyle="1">
    <w:name w:val="cs7115dbcf"/>
    <w:basedOn w:val="Normal"/>
    <w:qFormat/>
    <w:rsid w:val="00e23642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cs475609cc" w:customStyle="1">
    <w:name w:val="cs475609cc"/>
    <w:basedOn w:val="Normal"/>
    <w:qFormat/>
    <w:rsid w:val="00e23642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cs61116938" w:customStyle="1">
    <w:name w:val="cs61116938"/>
    <w:basedOn w:val="Normal"/>
    <w:qFormat/>
    <w:rsid w:val="00e23642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cs2654ae3a" w:customStyle="1">
    <w:name w:val="cs2654ae3a"/>
    <w:basedOn w:val="Normal"/>
    <w:qFormat/>
    <w:rsid w:val="00e23642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csabb0e626" w:customStyle="1">
    <w:name w:val="csabb0e626"/>
    <w:basedOn w:val="Normal"/>
    <w:qFormat/>
    <w:rsid w:val="00e23642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user3" w:customStyle="1">
    <w:name w:val="Вміст рамки (user)"/>
    <w:basedOn w:val="Normal"/>
    <w:qFormat/>
    <w:rsid w:val="0035077f"/>
    <w:pPr/>
    <w:rPr/>
  </w:style>
  <w:style w:type="paragraph" w:styleId="16" w:customStyle="1">
    <w:name w:val="Звичайний1"/>
    <w:qFormat/>
    <w:rsid w:val="0035077f"/>
    <w:pPr>
      <w:widowControl w:val="false"/>
      <w:suppressAutoHyphens w:val="true"/>
      <w:bidi w:val="0"/>
      <w:spacing w:lineRule="auto" w:line="259" w:before="0" w:after="0"/>
      <w:ind w:firstLine="580"/>
      <w:jc w:val="both"/>
    </w:pPr>
    <w:rPr>
      <w:rFonts w:ascii="Times New Roman" w:hAnsi="Times New Roman" w:eastAsia="Times New Roman" w:cs="Times New Roman"/>
      <w:color w:val="auto"/>
      <w:kern w:val="0"/>
      <w:sz w:val="18"/>
      <w:szCs w:val="20"/>
      <w:lang w:val="uk-UA" w:eastAsia="ru-RU" w:bidi="ar-SA"/>
    </w:rPr>
  </w:style>
  <w:style w:type="paragraph" w:styleId="Style24">
    <w:name w:val="Верхній і нижній колонтитули"/>
    <w:basedOn w:val="Normal"/>
    <w:qFormat/>
    <w:pPr/>
    <w:rPr/>
  </w:style>
  <w:style w:type="paragraph" w:styleId="Header">
    <w:name w:val="header"/>
    <w:basedOn w:val="user2"/>
    <w:rsid w:val="00333ce0"/>
    <w:pPr/>
    <w:rPr/>
  </w:style>
  <w:style w:type="paragraph" w:styleId="Footer">
    <w:name w:val="footer"/>
    <w:basedOn w:val="Normal"/>
    <w:rsid w:val="00783aac"/>
    <w:pPr>
      <w:tabs>
        <w:tab w:val="clear" w:pos="720"/>
        <w:tab w:val="center" w:pos="4153" w:leader="none"/>
        <w:tab w:val="right" w:pos="8306" w:leader="none"/>
      </w:tabs>
    </w:pPr>
    <w:rPr/>
  </w:style>
  <w:style w:type="numbering" w:styleId="Style25" w:default="1">
    <w:name w:val="Без маркерів"/>
    <w:uiPriority w:val="99"/>
    <w:semiHidden/>
    <w:unhideWhenUsed/>
    <w:qFormat/>
  </w:style>
  <w:style w:type="numbering" w:styleId="user4" w:customStyle="1">
    <w:name w:val="Без маркерів (user)"/>
    <w:qFormat/>
    <w:rsid w:val="0035077f"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e">
    <w:name w:val="Table Grid"/>
    <w:basedOn w:val="a1"/>
    <w:uiPriority w:val="59"/>
    <w:rsid w:val="00131b1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13A74F-6F36-4216-91DC-F001F0BF3B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Application>LibreOffice/26.2.0.3$Windows_X86_64 LibreOffice_project/620$Build-3</Application>
  <AppVersion>15.0000</AppVersion>
  <Pages>4</Pages>
  <Words>708</Words>
  <Characters>4922</Characters>
  <CharactersWithSpaces>5564</CharactersWithSpaces>
  <Paragraphs>75</Paragraphs>
  <Company>KMU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2026-04-23T06:23:00Z</dcterms:created>
  <dc:creator>1-1</dc:creator>
  <dc:description/>
  <dc:language>uk-UA</dc:language>
  <cp:lastModifiedBy/>
  <cp:lastPrinted>2020-07-03T07:18:00Z</cp:lastPrinted>
  <dcterms:modified xsi:type="dcterms:W3CDTF">2026-08-17T14:33:15Z</dcterms:modified>
  <cp:revision>11</cp:revision>
  <dc:subject/>
  <dc:title>£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