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hanging="0" w:left="4819"/>
        <w:jc w:val="left"/>
        <w:rPr>
          <w:bCs/>
        </w:rPr>
      </w:pPr>
      <w:r>
        <w:rPr>
          <w:bCs/>
        </w:rPr>
        <w:t>Додаток</w:t>
      </w:r>
    </w:p>
    <w:p>
      <w:pPr>
        <w:pStyle w:val="Normal"/>
        <w:ind w:hanging="0" w:left="4819"/>
        <w:jc w:val="left"/>
        <w:rPr>
          <w:bCs/>
        </w:rPr>
      </w:pPr>
      <w:r>
        <w:rPr>
          <w:bCs/>
        </w:rPr>
        <w:t xml:space="preserve">до Наказу </w:t>
      </w:r>
    </w:p>
    <w:p>
      <w:pPr>
        <w:pStyle w:val="Normal"/>
        <w:ind w:hanging="0" w:left="4819"/>
        <w:jc w:val="left"/>
        <w:rPr>
          <w:bCs/>
        </w:rPr>
      </w:pPr>
      <w:r>
        <w:rPr>
          <w:bCs/>
        </w:rPr>
        <w:t xml:space="preserve">Головного управління </w:t>
      </w:r>
    </w:p>
    <w:p>
      <w:pPr>
        <w:pStyle w:val="Normal"/>
        <w:ind w:hanging="0" w:left="4819"/>
        <w:jc w:val="left"/>
        <w:rPr>
          <w:bCs/>
        </w:rPr>
      </w:pPr>
      <w:r>
        <w:rPr>
          <w:bCs/>
        </w:rPr>
        <w:t xml:space="preserve">Пенсійного фонду України в м. Києві </w:t>
      </w:r>
    </w:p>
    <w:p>
      <w:pPr>
        <w:pStyle w:val="Normal"/>
        <w:ind w:hanging="0" w:left="4819"/>
        <w:jc w:val="left"/>
        <w:rPr>
          <w:bCs/>
        </w:rPr>
      </w:pPr>
      <w:r>
        <w:rPr>
          <w:bCs/>
        </w:rPr>
        <w:t>від “17” серпня 2026 року №________</w:t>
      </w:r>
    </w:p>
    <w:p>
      <w:pPr>
        <w:pStyle w:val="Heading3"/>
        <w:spacing w:lineRule="auto" w:line="240" w:before="0" w:after="0"/>
        <w:ind w:hanging="0" w:left="0"/>
        <w:jc w:val="center"/>
        <w:rPr>
          <w:b w:val="false"/>
          <w:bCs w:val="false"/>
          <w:i w:val="false"/>
          <w:iCs w:val="false"/>
        </w:rPr>
      </w:pPr>
      <w:r>
        <w:rPr>
          <w:b w:val="false"/>
          <w:bCs w:val="false"/>
          <w:i w:val="false"/>
          <w:iCs w:val="false"/>
        </w:rPr>
      </w:r>
    </w:p>
    <w:p>
      <w:pPr>
        <w:pStyle w:val="Heading3"/>
        <w:spacing w:lineRule="auto" w:line="240" w:before="0" w:after="0"/>
        <w:ind w:hanging="0" w:left="0"/>
        <w:jc w:val="center"/>
        <w:rPr>
          <w:b w:val="false"/>
          <w:bCs w:val="false"/>
          <w:i w:val="false"/>
          <w:iCs w:val="false"/>
        </w:rPr>
      </w:pPr>
      <w:r>
        <w:rPr>
          <w:b w:val="false"/>
          <w:bCs w:val="false"/>
          <w:i w:val="false"/>
          <w:iCs w:val="false"/>
        </w:rPr>
      </w:r>
    </w:p>
    <w:p>
      <w:pPr>
        <w:pStyle w:val="Heading3"/>
        <w:spacing w:lineRule="auto" w:line="240" w:before="0" w:after="0"/>
        <w:ind w:hanging="0" w:left="0"/>
        <w:jc w:val="center"/>
        <w:rPr>
          <w:b w:val="false"/>
          <w:bCs w:val="false"/>
          <w:i w:val="false"/>
          <w:iCs w:val="false"/>
        </w:rPr>
      </w:pPr>
      <w:r>
        <w:rPr>
          <w:b w:val="false"/>
          <w:bCs w:val="false"/>
          <w:i w:val="false"/>
          <w:iCs w:val="false"/>
        </w:rPr>
        <w:t>Умови</w:t>
      </w:r>
    </w:p>
    <w:p>
      <w:pPr>
        <w:pStyle w:val="Normal"/>
        <w:ind w:hanging="0"/>
        <w:jc w:val="center"/>
        <w:rPr>
          <w:bCs/>
          <w:szCs w:val="28"/>
        </w:rPr>
      </w:pPr>
      <w:r>
        <w:rPr>
          <w:bCs/>
          <w:szCs w:val="28"/>
        </w:rPr>
        <w:t xml:space="preserve">проведення добору </w:t>
      </w:r>
    </w:p>
    <w:p>
      <w:pPr>
        <w:pStyle w:val="Normal"/>
        <w:ind w:hanging="0"/>
        <w:jc w:val="center"/>
        <w:rPr>
          <w:bCs/>
          <w:szCs w:val="28"/>
          <w:lang w:val="ru-RU"/>
        </w:rPr>
      </w:pPr>
      <w:r>
        <w:rPr>
          <w:bCs/>
          <w:szCs w:val="28"/>
        </w:rPr>
        <w:t>на зайняття посади державної служби категорії «В»</w:t>
      </w:r>
      <w:r>
        <w:rPr>
          <w:bCs/>
          <w:szCs w:val="28"/>
          <w:lang w:val="ru-RU"/>
        </w:rPr>
        <w:t xml:space="preserve"> </w:t>
      </w:r>
    </w:p>
    <w:p>
      <w:pPr>
        <w:pStyle w:val="Normal"/>
        <w:ind w:hanging="0"/>
        <w:jc w:val="center"/>
        <w:rPr>
          <w:szCs w:val="28"/>
          <w:lang w:val="ru-RU"/>
        </w:rPr>
      </w:pPr>
      <w:r>
        <w:rPr>
          <w:bCs/>
          <w:szCs w:val="28"/>
          <w:lang w:val="ru-RU"/>
        </w:rPr>
        <w:t xml:space="preserve"> </w:t>
      </w:r>
      <w:r>
        <w:rPr>
          <w:bCs/>
          <w:szCs w:val="28"/>
        </w:rPr>
        <w:t xml:space="preserve">головного спеціаліста </w:t>
      </w:r>
      <w:r>
        <w:rPr>
          <w:szCs w:val="28"/>
        </w:rPr>
        <w:t>відділу забезпечення наповнення бюджету №1</w:t>
      </w:r>
      <w:r>
        <w:rPr>
          <w:szCs w:val="28"/>
          <w:lang w:val="ru-RU"/>
        </w:rPr>
        <w:t xml:space="preserve"> фінансово-економічного управління </w:t>
      </w:r>
    </w:p>
    <w:p>
      <w:pPr>
        <w:pStyle w:val="Normal"/>
        <w:ind w:hanging="0"/>
        <w:jc w:val="center"/>
        <w:rPr/>
      </w:pPr>
      <w:r>
        <w:rPr/>
        <w:t xml:space="preserve"> </w:t>
      </w:r>
      <w:r>
        <w:rPr/>
        <w:t>(</w:t>
      </w:r>
      <w:r>
        <w:rPr>
          <w:szCs w:val="24"/>
        </w:rPr>
        <w:t>проспект Берестейський, 92/2</w:t>
      </w:r>
      <w:r>
        <w:rPr/>
        <w:t>)</w:t>
      </w:r>
    </w:p>
    <w:p>
      <w:pPr>
        <w:pStyle w:val="Normal"/>
        <w:ind w:hanging="0"/>
        <w:jc w:val="center"/>
        <w:rPr>
          <w:bCs/>
          <w:szCs w:val="28"/>
          <w:lang w:val="ru-RU"/>
        </w:rPr>
      </w:pPr>
      <w:r>
        <w:rPr>
          <w:bCs/>
          <w:szCs w:val="28"/>
          <w:lang w:val="ru-RU"/>
        </w:rPr>
      </w:r>
    </w:p>
    <w:tbl>
      <w:tblPr>
        <w:tblW w:w="9610" w:type="dxa"/>
        <w:jc w:val="left"/>
        <w:tblInd w:w="137" w:type="dxa"/>
        <w:tblLayout w:type="fixed"/>
        <w:tblCellMar>
          <w:top w:w="0" w:type="dxa"/>
          <w:left w:w="108" w:type="dxa"/>
          <w:bottom w:w="0" w:type="dxa"/>
          <w:right w:w="108" w:type="dxa"/>
        </w:tblCellMar>
        <w:tblLook w:val="04a0"/>
      </w:tblPr>
      <w:tblGrid>
        <w:gridCol w:w="540"/>
        <w:gridCol w:w="51"/>
        <w:gridCol w:w="2923"/>
        <w:gridCol w:w="13"/>
        <w:gridCol w:w="18"/>
        <w:gridCol w:w="5950"/>
        <w:gridCol w:w="115"/>
      </w:tblGrid>
      <w:tr>
        <w:trPr/>
        <w:tc>
          <w:tcPr>
            <w:tcW w:w="9610" w:type="dxa"/>
            <w:gridSpan w:val="7"/>
            <w:tcBorders>
              <w:top w:val="single" w:sz="4" w:space="0" w:color="000000"/>
              <w:left w:val="single" w:sz="4" w:space="0" w:color="000000"/>
              <w:bottom w:val="single" w:sz="4" w:space="0" w:color="000000"/>
              <w:right w:val="single" w:sz="4" w:space="0" w:color="000000"/>
            </w:tcBorders>
          </w:tcPr>
          <w:p>
            <w:pPr>
              <w:pStyle w:val="Normal"/>
              <w:spacing w:lineRule="auto" w:line="240"/>
              <w:ind w:firstLine="181"/>
              <w:jc w:val="center"/>
              <w:rPr>
                <w:b/>
                <w:bCs/>
                <w:szCs w:val="28"/>
              </w:rPr>
            </w:pPr>
            <w:r>
              <w:rPr>
                <w:b/>
                <w:bCs/>
                <w:szCs w:val="28"/>
              </w:rPr>
              <w:t>Загальні умови</w:t>
            </w:r>
          </w:p>
        </w:tc>
      </w:tr>
      <w:tr>
        <w:trPr>
          <w:trHeight w:val="1232" w:hRule="atLeast"/>
        </w:trPr>
        <w:tc>
          <w:tcPr>
            <w:tcW w:w="3514"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Посадові обов’язки</w:t>
            </w:r>
          </w:p>
        </w:tc>
        <w:tc>
          <w:tcPr>
            <w:tcW w:w="6096" w:type="dxa"/>
            <w:gridSpan w:val="4"/>
            <w:tcBorders>
              <w:top w:val="single" w:sz="4" w:space="0" w:color="000000"/>
              <w:left w:val="single" w:sz="4" w:space="0" w:color="000000"/>
              <w:bottom w:val="single" w:sz="4" w:space="0" w:color="000000"/>
              <w:right w:val="single" w:sz="4" w:space="0" w:color="000000"/>
            </w:tcBorders>
          </w:tcPr>
          <w:p>
            <w:pPr>
              <w:pStyle w:val="NormalWeb"/>
              <w:numPr>
                <w:ilvl w:val="0"/>
                <w:numId w:val="1"/>
              </w:numPr>
              <w:spacing w:before="0" w:after="0"/>
              <w:ind w:hanging="35" w:left="35"/>
              <w:jc w:val="both"/>
              <w:rPr>
                <w:szCs w:val="28"/>
              </w:rPr>
            </w:pPr>
            <w:r>
              <w:rPr>
                <w:sz w:val="28"/>
                <w:szCs w:val="28"/>
                <w:lang w:val="uk-UA"/>
              </w:rPr>
              <w:t>Оперативне виконання завдань, покладених чинним законодавством на органи Пенсійного фонду та безпосередньо на відділ;</w:t>
            </w:r>
          </w:p>
          <w:p>
            <w:pPr>
              <w:pStyle w:val="NormalWeb"/>
              <w:numPr>
                <w:ilvl w:val="0"/>
                <w:numId w:val="1"/>
              </w:numPr>
              <w:spacing w:before="0" w:after="0"/>
              <w:ind w:hanging="35" w:left="35"/>
              <w:jc w:val="both"/>
              <w:rPr>
                <w:szCs w:val="28"/>
              </w:rPr>
            </w:pPr>
            <w:r>
              <w:rPr>
                <w:sz w:val="28"/>
                <w:szCs w:val="28"/>
                <w:lang w:val="uk-UA"/>
              </w:rPr>
              <w:t>Ведення обліку надходження збору на обов’язкове державне пенсійне страхування по виписці Держказначейства та ведення електронного реєстру надходження збору на обов’язкове державне пенсійне страхування в розрізі платників, звіряння надходження з даними Держказначейства;</w:t>
            </w:r>
          </w:p>
          <w:p>
            <w:pPr>
              <w:pStyle w:val="NormalWeb"/>
              <w:numPr>
                <w:ilvl w:val="0"/>
                <w:numId w:val="1"/>
              </w:numPr>
              <w:spacing w:before="0" w:after="0"/>
              <w:ind w:hanging="35" w:left="35"/>
              <w:jc w:val="both"/>
              <w:rPr>
                <w:szCs w:val="28"/>
              </w:rPr>
            </w:pPr>
            <w:r>
              <w:rPr>
                <w:sz w:val="28"/>
                <w:szCs w:val="28"/>
                <w:lang w:val="uk-UA"/>
              </w:rPr>
              <w:t>Опрацювання виписок від установ Ощадбанку та щомісячне  контролювання надходження коштів зі сплати страхових внесків, коштів по відшкодуванню фактичних витрат на виплату та доставку пенсій, призначених на пільгових умовах та інших платежів та повідомлень від Державного реєстратора, та внесення в базу ІКІС ПФУ відповідно до "Порядку заповнення та подання державному реєстраторові форм повідомлень про початок проведення перевірки, про неможливість листів, пропозиції, заяви платників, що надійшли до відділу, в установлені терміни та надає відповіді в межах своїх повноважень проведення,про наявність заперечень та відкликання заперечень";</w:t>
            </w:r>
          </w:p>
          <w:p>
            <w:pPr>
              <w:pStyle w:val="NormalWeb"/>
              <w:numPr>
                <w:ilvl w:val="0"/>
                <w:numId w:val="1"/>
              </w:numPr>
              <w:spacing w:before="0" w:after="0"/>
              <w:ind w:hanging="35" w:left="35"/>
              <w:jc w:val="both"/>
              <w:rPr>
                <w:szCs w:val="28"/>
              </w:rPr>
            </w:pPr>
            <w:r>
              <w:rPr>
                <w:sz w:val="28"/>
                <w:szCs w:val="28"/>
                <w:lang w:val="uk-UA"/>
              </w:rPr>
              <w:t>Здійснення у передбаченому законодавством порядку надання матеріалів до юридичного управління для подання позовів до суду по особовим рахункам платника, в т. ч. по   підприємствах-банкрутах, для забезпечення  стягнення своєчасно не нарахованих та/або не сплачених обов’язкових платежів до бюджету Головного управління;</w:t>
            </w:r>
          </w:p>
          <w:p>
            <w:pPr>
              <w:pStyle w:val="NormalWeb"/>
              <w:numPr>
                <w:ilvl w:val="0"/>
                <w:numId w:val="1"/>
              </w:numPr>
              <w:spacing w:before="0" w:after="0"/>
              <w:ind w:hanging="35" w:left="35"/>
              <w:jc w:val="both"/>
              <w:rPr>
                <w:szCs w:val="28"/>
              </w:rPr>
            </w:pPr>
            <w:r>
              <w:rPr>
                <w:sz w:val="28"/>
                <w:szCs w:val="28"/>
                <w:lang w:val="uk-UA"/>
              </w:rPr>
              <w:t>Проведення щомісячного аналізу підприємств–боржників на предмет вжитих заходів по стягненню боргів;</w:t>
            </w:r>
          </w:p>
          <w:p>
            <w:pPr>
              <w:pStyle w:val="NormalWeb"/>
              <w:numPr>
                <w:ilvl w:val="0"/>
                <w:numId w:val="1"/>
              </w:numPr>
              <w:spacing w:before="0" w:after="0"/>
              <w:ind w:hanging="35" w:left="35"/>
              <w:jc w:val="both"/>
              <w:rPr>
                <w:szCs w:val="28"/>
              </w:rPr>
            </w:pPr>
            <w:r>
              <w:rPr>
                <w:sz w:val="28"/>
                <w:szCs w:val="28"/>
                <w:lang w:val="uk-UA"/>
              </w:rPr>
              <w:t>Взаємодія в установленому порядку з іншими структурними підрозділами Головного управління,  з відомствами, іншими органами державної виконавчої влади у питаннях, що належать до його компетенції.</w:t>
            </w:r>
          </w:p>
          <w:p>
            <w:pPr>
              <w:pStyle w:val="NormalWeb"/>
              <w:numPr>
                <w:ilvl w:val="0"/>
                <w:numId w:val="1"/>
              </w:numPr>
              <w:spacing w:before="0" w:after="0"/>
              <w:ind w:hanging="35" w:left="35"/>
              <w:jc w:val="both"/>
              <w:rPr>
                <w:szCs w:val="28"/>
              </w:rPr>
            </w:pPr>
            <w:r>
              <w:rPr>
                <w:sz w:val="28"/>
                <w:szCs w:val="28"/>
                <w:lang w:val="uk-UA"/>
              </w:rPr>
              <w:t>Розгляд листів, пропозиції, заяви платників, що надійшли до відділу та надання відповідей в установлені терміни, в межах своїх повноважень.</w:t>
            </w:r>
          </w:p>
          <w:p>
            <w:pPr>
              <w:pStyle w:val="NormalWeb"/>
              <w:numPr>
                <w:ilvl w:val="0"/>
                <w:numId w:val="1"/>
              </w:numPr>
              <w:spacing w:before="0" w:after="0"/>
              <w:ind w:hanging="35" w:left="35"/>
              <w:jc w:val="both"/>
              <w:rPr>
                <w:szCs w:val="28"/>
              </w:rPr>
            </w:pPr>
            <w:r>
              <w:rPr>
                <w:sz w:val="28"/>
                <w:szCs w:val="28"/>
                <w:lang w:val="uk-UA"/>
              </w:rPr>
              <w:t>Дотримання законодавства про інформацію, доступ до публічної інформації та  персональних даних, виконання вимог законодавства про запобігання корупції.</w:t>
            </w:r>
          </w:p>
          <w:p>
            <w:pPr>
              <w:pStyle w:val="NormalWeb"/>
              <w:numPr>
                <w:ilvl w:val="0"/>
                <w:numId w:val="1"/>
              </w:numPr>
              <w:spacing w:before="0" w:after="0"/>
              <w:ind w:hanging="35" w:left="35"/>
              <w:jc w:val="both"/>
              <w:rPr>
                <w:szCs w:val="28"/>
              </w:rPr>
            </w:pPr>
            <w:r>
              <w:rPr>
                <w:sz w:val="28"/>
                <w:szCs w:val="28"/>
                <w:lang w:val="uk-UA"/>
              </w:rPr>
              <w:t>Заміщення, в порядку визначеному начальником відділу, інших працівників відділу у разі їх відсутності</w:t>
            </w:r>
          </w:p>
        </w:tc>
      </w:tr>
      <w:tr>
        <w:trPr/>
        <w:tc>
          <w:tcPr>
            <w:tcW w:w="3514"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Умови оплати праці</w:t>
            </w:r>
          </w:p>
        </w:tc>
        <w:tc>
          <w:tcPr>
            <w:tcW w:w="6096" w:type="dxa"/>
            <w:gridSpan w:val="4"/>
            <w:tcBorders>
              <w:top w:val="single" w:sz="4" w:space="0" w:color="000000"/>
              <w:left w:val="single" w:sz="4" w:space="0" w:color="000000"/>
              <w:bottom w:val="single" w:sz="4" w:space="0" w:color="000000"/>
              <w:right w:val="single" w:sz="4" w:space="0" w:color="000000"/>
            </w:tcBorders>
            <w:vAlign w:val="center"/>
          </w:tcPr>
          <w:p>
            <w:pPr>
              <w:pStyle w:val="csd270a203"/>
              <w:spacing w:beforeAutospacing="0" w:before="0" w:afterAutospacing="0" w:after="0"/>
              <w:jc w:val="both"/>
              <w:rPr>
                <w:color w:val="000000"/>
                <w:sz w:val="28"/>
                <w:szCs w:val="27"/>
              </w:rPr>
            </w:pPr>
            <w:r>
              <w:rPr>
                <w:rStyle w:val="csd2c743de"/>
                <w:color w:val="000000"/>
                <w:sz w:val="28"/>
                <w:szCs w:val="28"/>
              </w:rPr>
              <w:t>Посадовий оклад – 20 795 грн. згідно із класифікацією посад; доплати, компенсації відповідно до статті 52 Закону України «Про державну службу»; надбавка за вислугу років, премія та грошова допомога відповідно до прикінцевих положень Закону України «Про державний Бюджет України на 202</w:t>
            </w:r>
            <w:r>
              <w:rPr>
                <w:rStyle w:val="csd2c743de"/>
                <w:color w:val="000000"/>
                <w:sz w:val="28"/>
                <w:szCs w:val="28"/>
                <w:lang w:val="en-US"/>
              </w:rPr>
              <w:t>6</w:t>
            </w:r>
            <w:r>
              <w:rPr>
                <w:rStyle w:val="csd2c743de"/>
                <w:color w:val="000000"/>
                <w:sz w:val="28"/>
                <w:szCs w:val="28"/>
              </w:rPr>
              <w:t xml:space="preserve"> рік;</w:t>
            </w:r>
          </w:p>
          <w:p>
            <w:pPr>
              <w:pStyle w:val="cs66e64e55"/>
              <w:spacing w:beforeAutospacing="0" w:before="0" w:afterAutospacing="0" w:after="0"/>
              <w:jc w:val="both"/>
              <w:rPr>
                <w:bCs/>
                <w:szCs w:val="28"/>
              </w:rPr>
            </w:pPr>
            <w:r>
              <w:rPr>
                <w:rStyle w:val="csd2c743de"/>
                <w:color w:val="000000"/>
                <w:sz w:val="28"/>
                <w:szCs w:val="28"/>
              </w:rPr>
              <w:t>надбавка до посадового окладу за ранг державного службовця відповідно до постанови Кабінету Міністрів України від 18 січня 2017 року № 15 «Питання оплати праці працівників державних органів» (із змінами).</w:t>
            </w:r>
          </w:p>
        </w:tc>
      </w:tr>
      <w:tr>
        <w:trPr>
          <w:trHeight w:val="915" w:hRule="atLeast"/>
        </w:trPr>
        <w:tc>
          <w:tcPr>
            <w:tcW w:w="3514"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Інформація про строковість</w:t>
            </w:r>
          </w:p>
          <w:p>
            <w:pPr>
              <w:pStyle w:val="Default"/>
              <w:rPr>
                <w:bCs/>
                <w:color w:val="auto"/>
                <w:sz w:val="28"/>
                <w:szCs w:val="28"/>
                <w:lang w:eastAsia="ru-RU"/>
              </w:rPr>
            </w:pPr>
            <w:r>
              <w:rPr>
                <w:bCs/>
                <w:color w:val="auto"/>
                <w:sz w:val="28"/>
                <w:szCs w:val="28"/>
                <w:lang w:eastAsia="ru-RU"/>
              </w:rPr>
              <w:t>чи безстроковість</w:t>
            </w:r>
          </w:p>
          <w:p>
            <w:pPr>
              <w:pStyle w:val="Default"/>
              <w:rPr>
                <w:bCs/>
                <w:color w:val="auto"/>
                <w:sz w:val="28"/>
                <w:szCs w:val="28"/>
                <w:lang w:eastAsia="ru-RU"/>
              </w:rPr>
            </w:pPr>
            <w:r>
              <w:rPr>
                <w:bCs/>
                <w:color w:val="auto"/>
                <w:sz w:val="28"/>
                <w:szCs w:val="28"/>
                <w:lang w:eastAsia="ru-RU"/>
              </w:rPr>
              <w:t>призначення на посаду</w:t>
            </w:r>
          </w:p>
        </w:tc>
        <w:tc>
          <w:tcPr>
            <w:tcW w:w="6096" w:type="dxa"/>
            <w:gridSpan w:val="4"/>
            <w:tcBorders>
              <w:top w:val="single" w:sz="4" w:space="0" w:color="000000"/>
              <w:left w:val="single" w:sz="4" w:space="0" w:color="000000"/>
              <w:bottom w:val="single" w:sz="4" w:space="0" w:color="000000"/>
              <w:right w:val="single" w:sz="4" w:space="0" w:color="000000"/>
            </w:tcBorders>
          </w:tcPr>
          <w:p>
            <w:pPr>
              <w:pStyle w:val="Style17"/>
              <w:spacing w:lineRule="auto" w:line="240" w:before="0" w:after="0"/>
              <w:ind w:hanging="0"/>
              <w:rPr>
                <w:bCs/>
                <w:sz w:val="27"/>
                <w:szCs w:val="27"/>
              </w:rPr>
            </w:pPr>
            <w:r>
              <w:rPr>
                <w:bCs/>
                <w:sz w:val="27"/>
                <w:szCs w:val="27"/>
              </w:rPr>
              <w:t>Строково, в</w:t>
            </w:r>
            <w:r>
              <w:rPr>
                <w:sz w:val="27"/>
                <w:szCs w:val="27"/>
              </w:rPr>
              <w:t>ідповідно до Закону України «Про внесення змін до деяких законів України щодо функціонування державної служби та місцевого самоврядування у період дії воєнного стану» від 12 травня 2022 № 2259-ІХ, внесено зміни до Закону України «Про правовий режим воєнного стану».</w:t>
            </w:r>
          </w:p>
        </w:tc>
      </w:tr>
      <w:tr>
        <w:trPr/>
        <w:tc>
          <w:tcPr>
            <w:tcW w:w="9495" w:type="dxa"/>
            <w:gridSpan w:val="6"/>
            <w:tcBorders>
              <w:top w:val="single" w:sz="4" w:space="0" w:color="000000"/>
              <w:left w:val="single" w:sz="4" w:space="0" w:color="000000"/>
              <w:bottom w:val="single" w:sz="4" w:space="0" w:color="000000"/>
              <w:right w:val="single" w:sz="4" w:space="0" w:color="000000"/>
            </w:tcBorders>
          </w:tcPr>
          <w:p>
            <w:pPr>
              <w:pStyle w:val="Default"/>
              <w:jc w:val="center"/>
              <w:rPr>
                <w:b/>
                <w:bCs/>
                <w:color w:val="auto"/>
                <w:sz w:val="28"/>
                <w:szCs w:val="28"/>
                <w:lang w:eastAsia="ru-RU"/>
              </w:rPr>
            </w:pPr>
            <w:r>
              <w:rPr>
                <w:b/>
                <w:bCs/>
                <w:color w:val="auto"/>
                <w:sz w:val="28"/>
                <w:szCs w:val="28"/>
                <w:lang w:eastAsia="ru-RU"/>
              </w:rPr>
              <w:t>Кваліфікаційні вимоги</w:t>
            </w:r>
          </w:p>
          <w:p>
            <w:pPr>
              <w:pStyle w:val="Default"/>
              <w:jc w:val="center"/>
              <w:rPr>
                <w:b/>
                <w:bCs/>
                <w:color w:val="auto"/>
                <w:sz w:val="28"/>
                <w:szCs w:val="28"/>
                <w:lang w:eastAsia="ru-RU"/>
              </w:rPr>
            </w:pPr>
            <w:r>
              <w:rPr>
                <w:b/>
                <w:bCs/>
                <w:color w:val="auto"/>
                <w:sz w:val="28"/>
                <w:szCs w:val="28"/>
                <w:lang w:eastAsia="ru-RU"/>
              </w:rPr>
            </w:r>
          </w:p>
          <w:p>
            <w:pPr>
              <w:pStyle w:val="Default"/>
              <w:jc w:val="center"/>
              <w:rPr>
                <w:b/>
                <w:i/>
                <w:iCs/>
                <w:spacing w:val="-2"/>
              </w:rPr>
            </w:pPr>
            <w:r>
              <w:rPr>
                <w:b/>
                <w:i/>
                <w:iCs/>
              </w:rPr>
              <w:t>Обов’язковою</w:t>
            </w:r>
            <w:r>
              <w:rPr>
                <w:b/>
                <w:i/>
                <w:iCs/>
                <w:spacing w:val="80"/>
              </w:rPr>
              <w:t xml:space="preserve"> </w:t>
            </w:r>
            <w:r>
              <w:rPr>
                <w:b/>
                <w:i/>
                <w:iCs/>
              </w:rPr>
              <w:t>вимогою</w:t>
            </w:r>
            <w:r>
              <w:rPr>
                <w:b/>
                <w:i/>
                <w:iCs/>
                <w:spacing w:val="80"/>
              </w:rPr>
              <w:t xml:space="preserve"> </w:t>
            </w:r>
            <w:r>
              <w:rPr>
                <w:b/>
                <w:i/>
                <w:iCs/>
              </w:rPr>
              <w:t>до</w:t>
            </w:r>
            <w:r>
              <w:rPr>
                <w:b/>
                <w:i/>
                <w:iCs/>
                <w:spacing w:val="80"/>
              </w:rPr>
              <w:t xml:space="preserve"> </w:t>
            </w:r>
            <w:r>
              <w:rPr>
                <w:b/>
                <w:i/>
                <w:iCs/>
              </w:rPr>
              <w:t>осіб,</w:t>
            </w:r>
            <w:r>
              <w:rPr>
                <w:b/>
                <w:i/>
                <w:iCs/>
                <w:spacing w:val="80"/>
              </w:rPr>
              <w:t xml:space="preserve"> </w:t>
            </w:r>
            <w:r>
              <w:rPr>
                <w:b/>
                <w:i/>
                <w:iCs/>
              </w:rPr>
              <w:t>які</w:t>
            </w:r>
            <w:r>
              <w:rPr>
                <w:b/>
                <w:i/>
                <w:iCs/>
                <w:spacing w:val="80"/>
              </w:rPr>
              <w:t xml:space="preserve"> </w:t>
            </w:r>
            <w:r>
              <w:rPr>
                <w:b/>
                <w:i/>
                <w:iCs/>
              </w:rPr>
              <w:t>претендують</w:t>
            </w:r>
            <w:r>
              <w:rPr>
                <w:b/>
                <w:i/>
                <w:iCs/>
                <w:spacing w:val="80"/>
              </w:rPr>
              <w:t xml:space="preserve"> </w:t>
            </w:r>
            <w:r>
              <w:rPr>
                <w:b/>
                <w:i/>
                <w:iCs/>
              </w:rPr>
              <w:t>на</w:t>
            </w:r>
            <w:r>
              <w:rPr>
                <w:b/>
                <w:i/>
                <w:iCs/>
                <w:spacing w:val="80"/>
              </w:rPr>
              <w:t xml:space="preserve"> </w:t>
            </w:r>
            <w:r>
              <w:rPr>
                <w:b/>
                <w:i/>
                <w:iCs/>
              </w:rPr>
              <w:t>посаду,</w:t>
            </w:r>
            <w:r>
              <w:rPr>
                <w:b/>
                <w:i/>
                <w:iCs/>
                <w:spacing w:val="80"/>
              </w:rPr>
              <w:t xml:space="preserve"> </w:t>
            </w:r>
            <w:r>
              <w:rPr>
                <w:b/>
                <w:i/>
                <w:iCs/>
              </w:rPr>
              <w:t>є наявність</w:t>
            </w:r>
            <w:r>
              <w:rPr>
                <w:b/>
                <w:i/>
                <w:iCs/>
                <w:spacing w:val="-1"/>
              </w:rPr>
              <w:t xml:space="preserve"> </w:t>
            </w:r>
            <w:r>
              <w:rPr>
                <w:b/>
                <w:i/>
                <w:iCs/>
              </w:rPr>
              <w:t xml:space="preserve">громадянства України та відсутність громадянства інших </w:t>
            </w:r>
            <w:r>
              <w:rPr>
                <w:b/>
                <w:i/>
                <w:iCs/>
                <w:spacing w:val="-2"/>
              </w:rPr>
              <w:t>держав.</w:t>
            </w:r>
          </w:p>
          <w:p>
            <w:pPr>
              <w:pStyle w:val="Default"/>
              <w:jc w:val="center"/>
              <w:rPr>
                <w:b/>
                <w:bCs/>
                <w:color w:val="auto"/>
                <w:sz w:val="28"/>
                <w:szCs w:val="28"/>
                <w:lang w:eastAsia="ru-RU"/>
              </w:rPr>
            </w:pPr>
            <w:r>
              <w:rPr>
                <w:b/>
                <w:bCs/>
                <w:color w:val="auto"/>
                <w:sz w:val="28"/>
                <w:szCs w:val="28"/>
                <w:lang w:eastAsia="ru-RU"/>
              </w:rPr>
            </w:r>
          </w:p>
        </w:tc>
        <w:tc>
          <w:tcPr>
            <w:tcW w:w="115" w:type="dxa"/>
            <w:tcBorders/>
          </w:tcPr>
          <w:p>
            <w:pPr>
              <w:pStyle w:val="Normal"/>
              <w:spacing w:lineRule="atLeast" w:line="0" w:before="0" w:after="0"/>
              <w:rPr>
                <w:sz w:val="2"/>
              </w:rPr>
            </w:pPr>
            <w:r>
              <w:rPr>
                <w:sz w:val="2"/>
              </w:rPr>
            </w:r>
          </w:p>
        </w:tc>
      </w:tr>
      <w:tr>
        <w:trPr/>
        <w:tc>
          <w:tcPr>
            <w:tcW w:w="540"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1.</w:t>
            </w:r>
          </w:p>
        </w:tc>
        <w:tc>
          <w:tcPr>
            <w:tcW w:w="3005"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Освіта</w:t>
            </w:r>
          </w:p>
        </w:tc>
        <w:tc>
          <w:tcPr>
            <w:tcW w:w="595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hanging="0"/>
              <w:rPr>
                <w:bCs/>
                <w:szCs w:val="28"/>
              </w:rPr>
            </w:pPr>
            <w:r>
              <w:rPr>
                <w:rStyle w:val="rvts0"/>
                <w:szCs w:val="28"/>
              </w:rPr>
              <w:t>вища освіта за освітнім ступенем не нижче бакалавра, молодшого бакалавра у галузі знань «Управління та адміністрування», «Соціально-поведінкові науки» «Математика та статистика».</w:t>
            </w:r>
          </w:p>
        </w:tc>
        <w:tc>
          <w:tcPr>
            <w:tcW w:w="115" w:type="dxa"/>
            <w:tcBorders/>
          </w:tcPr>
          <w:p>
            <w:pPr>
              <w:pStyle w:val="Normal"/>
              <w:spacing w:lineRule="atLeast" w:line="0" w:before="0" w:after="0"/>
              <w:rPr>
                <w:sz w:val="2"/>
              </w:rPr>
            </w:pPr>
            <w:r>
              <w:rPr>
                <w:sz w:val="2"/>
              </w:rPr>
            </w:r>
          </w:p>
        </w:tc>
      </w:tr>
      <w:tr>
        <w:trPr/>
        <w:tc>
          <w:tcPr>
            <w:tcW w:w="540"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2.</w:t>
            </w:r>
          </w:p>
        </w:tc>
        <w:tc>
          <w:tcPr>
            <w:tcW w:w="3005"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Досвід роботи</w:t>
            </w:r>
          </w:p>
        </w:tc>
        <w:tc>
          <w:tcPr>
            <w:tcW w:w="5950"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left="28"/>
              <w:rPr>
                <w:bCs/>
                <w:szCs w:val="28"/>
              </w:rPr>
            </w:pPr>
            <w:r>
              <w:rPr>
                <w:szCs w:val="28"/>
                <w:shd w:fill="FFFFFF" w:val="clear"/>
              </w:rPr>
              <w:t>не потребує</w:t>
            </w:r>
          </w:p>
        </w:tc>
        <w:tc>
          <w:tcPr>
            <w:tcW w:w="115" w:type="dxa"/>
            <w:tcBorders/>
          </w:tcPr>
          <w:p>
            <w:pPr>
              <w:pStyle w:val="Normal"/>
              <w:spacing w:lineRule="atLeast" w:line="0" w:before="0" w:after="0"/>
              <w:rPr>
                <w:sz w:val="2"/>
              </w:rPr>
            </w:pPr>
            <w:r>
              <w:rPr>
                <w:sz w:val="2"/>
              </w:rPr>
            </w:r>
          </w:p>
        </w:tc>
      </w:tr>
      <w:tr>
        <w:trPr>
          <w:trHeight w:val="495" w:hRule="atLeast"/>
        </w:trPr>
        <w:tc>
          <w:tcPr>
            <w:tcW w:w="540"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3.</w:t>
            </w:r>
          </w:p>
        </w:tc>
        <w:tc>
          <w:tcPr>
            <w:tcW w:w="3005"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Володіння державною мовою</w:t>
            </w:r>
          </w:p>
        </w:tc>
        <w:tc>
          <w:tcPr>
            <w:tcW w:w="5950"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bCs/>
                <w:szCs w:val="28"/>
              </w:rPr>
            </w:pPr>
            <w:r>
              <w:rPr>
                <w:szCs w:val="28"/>
              </w:rPr>
              <w:t>вільне володіння державною мовою</w:t>
            </w:r>
          </w:p>
        </w:tc>
        <w:tc>
          <w:tcPr>
            <w:tcW w:w="115" w:type="dxa"/>
            <w:tcBorders/>
          </w:tcPr>
          <w:p>
            <w:pPr>
              <w:pStyle w:val="Normal"/>
              <w:spacing w:lineRule="atLeast" w:line="0" w:before="0" w:after="0"/>
              <w:rPr>
                <w:sz w:val="2"/>
              </w:rPr>
            </w:pPr>
            <w:r>
              <w:rPr>
                <w:sz w:val="2"/>
              </w:rPr>
            </w:r>
          </w:p>
        </w:tc>
      </w:tr>
      <w:tr>
        <w:trPr>
          <w:trHeight w:val="450" w:hRule="atLeast"/>
        </w:trPr>
        <w:tc>
          <w:tcPr>
            <w:tcW w:w="9495" w:type="dxa"/>
            <w:gridSpan w:val="6"/>
            <w:tcBorders>
              <w:top w:val="single" w:sz="4" w:space="0" w:color="000000"/>
              <w:left w:val="single" w:sz="4" w:space="0" w:color="000000"/>
              <w:bottom w:val="single" w:sz="4" w:space="0" w:color="000000"/>
              <w:right w:val="single" w:sz="4" w:space="0" w:color="000000"/>
            </w:tcBorders>
          </w:tcPr>
          <w:p>
            <w:pPr>
              <w:pStyle w:val="Normal"/>
              <w:jc w:val="center"/>
              <w:rPr>
                <w:b/>
                <w:szCs w:val="28"/>
              </w:rPr>
            </w:pPr>
            <w:r>
              <w:rPr>
                <w:b/>
                <w:szCs w:val="28"/>
              </w:rPr>
              <w:t>Вимоги до компетентності</w:t>
            </w:r>
          </w:p>
        </w:tc>
        <w:tc>
          <w:tcPr>
            <w:tcW w:w="115" w:type="dxa"/>
            <w:tcBorders/>
          </w:tcPr>
          <w:p>
            <w:pPr>
              <w:pStyle w:val="Normal"/>
              <w:spacing w:lineRule="atLeast" w:line="0" w:before="0" w:after="0"/>
              <w:rPr>
                <w:sz w:val="2"/>
              </w:rPr>
            </w:pPr>
            <w:r>
              <w:rPr>
                <w:sz w:val="2"/>
              </w:rPr>
            </w:r>
          </w:p>
        </w:tc>
      </w:tr>
      <w:tr>
        <w:trPr>
          <w:trHeight w:val="437" w:hRule="atLeast"/>
        </w:trPr>
        <w:tc>
          <w:tcPr>
            <w:tcW w:w="3527" w:type="dxa"/>
            <w:gridSpan w:val="4"/>
            <w:tcBorders>
              <w:top w:val="single" w:sz="4" w:space="0" w:color="000000"/>
              <w:left w:val="single" w:sz="4" w:space="0" w:color="000000"/>
              <w:bottom w:val="single" w:sz="4" w:space="0" w:color="000000"/>
              <w:right w:val="single" w:sz="4" w:space="0" w:color="000000"/>
            </w:tcBorders>
          </w:tcPr>
          <w:p>
            <w:pPr>
              <w:pStyle w:val="Normal"/>
              <w:jc w:val="center"/>
              <w:rPr>
                <w:b/>
                <w:szCs w:val="28"/>
              </w:rPr>
            </w:pPr>
            <w:r>
              <w:rPr>
                <w:b/>
                <w:szCs w:val="28"/>
              </w:rPr>
              <w:t>Вимога</w:t>
            </w:r>
          </w:p>
        </w:tc>
        <w:tc>
          <w:tcPr>
            <w:tcW w:w="5968" w:type="dxa"/>
            <w:gridSpan w:val="2"/>
            <w:tcBorders>
              <w:top w:val="single" w:sz="4" w:space="0" w:color="000000"/>
              <w:left w:val="single" w:sz="4" w:space="0" w:color="000000"/>
              <w:bottom w:val="single" w:sz="4" w:space="0" w:color="000000"/>
              <w:right w:val="single" w:sz="4" w:space="0" w:color="000000"/>
            </w:tcBorders>
          </w:tcPr>
          <w:p>
            <w:pPr>
              <w:pStyle w:val="Normal"/>
              <w:jc w:val="center"/>
              <w:rPr>
                <w:b/>
                <w:szCs w:val="28"/>
              </w:rPr>
            </w:pPr>
            <w:r>
              <w:rPr>
                <w:b/>
                <w:szCs w:val="28"/>
              </w:rPr>
              <w:t>Компоненти вимоги</w:t>
            </w:r>
          </w:p>
        </w:tc>
        <w:tc>
          <w:tcPr>
            <w:tcW w:w="115" w:type="dxa"/>
            <w:tcBorders/>
          </w:tcPr>
          <w:p>
            <w:pPr>
              <w:pStyle w:val="Normal"/>
              <w:spacing w:lineRule="atLeast" w:line="0" w:before="0" w:after="0"/>
              <w:rPr>
                <w:sz w:val="2"/>
              </w:rPr>
            </w:pPr>
            <w:r>
              <w:rPr>
                <w:sz w:val="2"/>
              </w:rPr>
            </w:r>
          </w:p>
        </w:tc>
      </w:tr>
      <w:tr>
        <w:trPr>
          <w:trHeight w:val="311" w:hRule="atLeast"/>
        </w:trPr>
        <w:tc>
          <w:tcPr>
            <w:tcW w:w="591"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1.</w:t>
            </w:r>
          </w:p>
        </w:tc>
        <w:tc>
          <w:tcPr>
            <w:tcW w:w="2936" w:type="dxa"/>
            <w:gridSpan w:val="2"/>
            <w:tcBorders>
              <w:top w:val="single" w:sz="4" w:space="0" w:color="000000"/>
              <w:left w:val="single" w:sz="4" w:space="0" w:color="000000"/>
              <w:bottom w:val="single" w:sz="4" w:space="0" w:color="000000"/>
              <w:right w:val="single" w:sz="4" w:space="0" w:color="000000"/>
            </w:tcBorders>
          </w:tcPr>
          <w:p>
            <w:pPr>
              <w:pStyle w:val="Normal"/>
              <w:ind w:hanging="0"/>
              <w:jc w:val="left"/>
              <w:rPr>
                <w:szCs w:val="28"/>
              </w:rPr>
            </w:pPr>
            <w:r>
              <w:rPr>
                <w:color w:val="000000"/>
                <w:szCs w:val="28"/>
              </w:rPr>
              <w:t>Якісне виконання поставлених завдань</w:t>
            </w:r>
          </w:p>
        </w:tc>
        <w:tc>
          <w:tcPr>
            <w:tcW w:w="596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
              </w:numPr>
              <w:tabs>
                <w:tab w:val="clear" w:pos="720"/>
                <w:tab w:val="left" w:pos="190" w:leader="none"/>
              </w:tabs>
              <w:suppressAutoHyphens w:val="true"/>
              <w:spacing w:lineRule="auto" w:line="240"/>
              <w:ind w:hanging="0" w:left="0"/>
              <w:rPr>
                <w:color w:val="000000"/>
                <w:szCs w:val="28"/>
              </w:rPr>
            </w:pPr>
            <w:r>
              <w:rPr>
                <w:color w:val="000000"/>
                <w:szCs w:val="28"/>
              </w:rPr>
              <w:t>чітке і точне формулювання мети, цілей і завдань службової діяльності;</w:t>
            </w:r>
          </w:p>
          <w:p>
            <w:pPr>
              <w:pStyle w:val="Normal"/>
              <w:widowControl w:val="false"/>
              <w:numPr>
                <w:ilvl w:val="0"/>
                <w:numId w:val="2"/>
              </w:numPr>
              <w:tabs>
                <w:tab w:val="clear" w:pos="720"/>
                <w:tab w:val="left" w:pos="190" w:leader="none"/>
              </w:tabs>
              <w:suppressAutoHyphens w:val="true"/>
              <w:spacing w:lineRule="auto" w:line="240"/>
              <w:ind w:hanging="0" w:left="0"/>
              <w:rPr>
                <w:color w:val="000000"/>
                <w:szCs w:val="28"/>
              </w:rPr>
            </w:pPr>
            <w:r>
              <w:rPr>
                <w:color w:val="000000"/>
                <w:szCs w:val="28"/>
              </w:rPr>
              <w:t>комплексний підхід до виконання завдань, виявлення ризиків;</w:t>
            </w:r>
          </w:p>
          <w:p>
            <w:pPr>
              <w:pStyle w:val="Normal"/>
              <w:widowControl w:val="false"/>
              <w:numPr>
                <w:ilvl w:val="0"/>
                <w:numId w:val="2"/>
              </w:numPr>
              <w:tabs>
                <w:tab w:val="clear" w:pos="720"/>
                <w:tab w:val="left" w:pos="190" w:leader="none"/>
              </w:tabs>
              <w:suppressAutoHyphens w:val="true"/>
              <w:spacing w:lineRule="auto" w:line="240"/>
              <w:ind w:hanging="0" w:left="0"/>
              <w:rPr>
                <w:color w:val="000000"/>
                <w:szCs w:val="28"/>
              </w:rPr>
            </w:pPr>
            <w:r>
              <w:rPr>
                <w:color w:val="000000"/>
                <w:szCs w:val="28"/>
              </w:rPr>
              <w:t xml:space="preserve"> </w:t>
            </w:r>
            <w:r>
              <w:rPr>
                <w:color w:val="000000"/>
                <w:szCs w:val="28"/>
              </w:rPr>
              <w:t>розуміння змісту завдання і його кінцевих результатів, самостійне визначення можливих шляхів досягнення.</w:t>
            </w:r>
          </w:p>
        </w:tc>
        <w:tc>
          <w:tcPr>
            <w:tcW w:w="115" w:type="dxa"/>
            <w:tcBorders/>
          </w:tcPr>
          <w:p>
            <w:pPr>
              <w:pStyle w:val="Normal"/>
              <w:spacing w:lineRule="atLeast" w:line="0" w:before="0" w:after="0"/>
              <w:rPr>
                <w:sz w:val="2"/>
              </w:rPr>
            </w:pPr>
            <w:r>
              <w:rPr>
                <w:sz w:val="2"/>
              </w:rPr>
            </w:r>
          </w:p>
        </w:tc>
      </w:tr>
      <w:tr>
        <w:trPr>
          <w:trHeight w:val="540" w:hRule="atLeast"/>
        </w:trPr>
        <w:tc>
          <w:tcPr>
            <w:tcW w:w="591" w:type="dxa"/>
            <w:gridSpan w:val="2"/>
            <w:tcBorders>
              <w:top w:val="single" w:sz="4" w:space="0" w:color="000000"/>
              <w:left w:val="single" w:sz="4" w:space="0" w:color="000000"/>
              <w:bottom w:val="single" w:sz="4" w:space="0" w:color="000000"/>
              <w:right w:val="single" w:sz="4" w:space="0" w:color="000000"/>
            </w:tcBorders>
          </w:tcPr>
          <w:p>
            <w:pPr>
              <w:pStyle w:val="Normal"/>
              <w:ind w:hanging="0"/>
              <w:rPr>
                <w:szCs w:val="28"/>
              </w:rPr>
            </w:pPr>
            <w:r>
              <w:rPr>
                <w:szCs w:val="28"/>
              </w:rPr>
              <w:t>2.</w:t>
            </w:r>
          </w:p>
        </w:tc>
        <w:tc>
          <w:tcPr>
            <w:tcW w:w="2936" w:type="dxa"/>
            <w:gridSpan w:val="2"/>
            <w:tcBorders>
              <w:top w:val="single" w:sz="4" w:space="0" w:color="000000"/>
              <w:left w:val="single" w:sz="4" w:space="0" w:color="000000"/>
              <w:bottom w:val="single" w:sz="4" w:space="0" w:color="000000"/>
              <w:right w:val="single" w:sz="4" w:space="0" w:color="000000"/>
            </w:tcBorders>
          </w:tcPr>
          <w:p>
            <w:pPr>
              <w:pStyle w:val="Normal"/>
              <w:ind w:hanging="0" w:left="32" w:right="106"/>
              <w:rPr>
                <w:color w:val="000000"/>
                <w:szCs w:val="28"/>
              </w:rPr>
            </w:pPr>
            <w:r>
              <w:rPr>
                <w:color w:val="000000"/>
                <w:szCs w:val="28"/>
              </w:rPr>
              <w:t>Відповідальність, командна робота та взаємодія</w:t>
            </w:r>
          </w:p>
        </w:tc>
        <w:tc>
          <w:tcPr>
            <w:tcW w:w="596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
              </w:numPr>
              <w:tabs>
                <w:tab w:val="clear" w:pos="720"/>
                <w:tab w:val="left" w:pos="190" w:leader="none"/>
              </w:tabs>
              <w:suppressAutoHyphens w:val="true"/>
              <w:spacing w:lineRule="auto" w:line="240"/>
              <w:ind w:hanging="0" w:left="0"/>
              <w:rPr>
                <w:color w:val="000000"/>
                <w:szCs w:val="28"/>
              </w:rPr>
            </w:pPr>
            <w:r>
              <w:rPr>
                <w:color w:val="000000"/>
                <w:szCs w:val="28"/>
              </w:rPr>
              <w:t>усвідомлення важливості якісного виконання своїх посадових обов'язків з дотриманням строків та встановлених процедур;</w:t>
            </w:r>
          </w:p>
          <w:p>
            <w:pPr>
              <w:pStyle w:val="Normal"/>
              <w:widowControl w:val="false"/>
              <w:numPr>
                <w:ilvl w:val="0"/>
                <w:numId w:val="2"/>
              </w:numPr>
              <w:tabs>
                <w:tab w:val="clear" w:pos="720"/>
                <w:tab w:val="left" w:pos="190" w:leader="none"/>
              </w:tabs>
              <w:suppressAutoHyphens w:val="true"/>
              <w:spacing w:lineRule="auto" w:line="240"/>
              <w:ind w:hanging="0" w:left="0"/>
              <w:rPr>
                <w:color w:val="000000"/>
                <w:szCs w:val="28"/>
              </w:rPr>
            </w:pPr>
            <w:r>
              <w:rPr>
                <w:color w:val="000000"/>
                <w:szCs w:val="28"/>
              </w:rPr>
              <w:t>усвідомлення рівня відповідальності під час підготовки і прийняття рішень, готовність нести відповідальність за можливі наслідки реалізації таких рішень;</w:t>
            </w:r>
          </w:p>
          <w:p>
            <w:pPr>
              <w:pStyle w:val="Normal"/>
              <w:widowControl w:val="false"/>
              <w:numPr>
                <w:ilvl w:val="0"/>
                <w:numId w:val="2"/>
              </w:numPr>
              <w:tabs>
                <w:tab w:val="clear" w:pos="720"/>
                <w:tab w:val="left" w:pos="190" w:leader="none"/>
              </w:tabs>
              <w:suppressAutoHyphens w:val="true"/>
              <w:spacing w:lineRule="auto" w:line="240"/>
              <w:ind w:hanging="0" w:left="0"/>
              <w:rPr>
                <w:color w:val="000000"/>
                <w:szCs w:val="28"/>
              </w:rPr>
            </w:pPr>
            <w:r>
              <w:rPr>
                <w:color w:val="000000"/>
                <w:szCs w:val="28"/>
              </w:rPr>
              <w:t>здатність брати на себе зобов’язання, чітко їх дотримуватись і виконувати;</w:t>
            </w:r>
          </w:p>
          <w:p>
            <w:pPr>
              <w:pStyle w:val="Normal"/>
              <w:widowControl w:val="false"/>
              <w:numPr>
                <w:ilvl w:val="0"/>
                <w:numId w:val="2"/>
              </w:numPr>
              <w:tabs>
                <w:tab w:val="clear" w:pos="720"/>
                <w:tab w:val="left" w:pos="190" w:leader="none"/>
              </w:tabs>
              <w:suppressAutoHyphens w:val="true"/>
              <w:spacing w:lineRule="auto" w:line="240"/>
              <w:ind w:hanging="0" w:left="0"/>
              <w:rPr>
                <w:bCs/>
                <w:szCs w:val="28"/>
              </w:rPr>
            </w:pPr>
            <w:r>
              <w:rPr/>
              <w:t xml:space="preserve">вміння працювати в </w:t>
            </w:r>
            <w:r>
              <w:rPr>
                <w:color w:val="000000"/>
                <w:szCs w:val="28"/>
              </w:rPr>
              <w:t>команді та командної взаємодії.</w:t>
            </w:r>
          </w:p>
        </w:tc>
        <w:tc>
          <w:tcPr>
            <w:tcW w:w="115" w:type="dxa"/>
            <w:tcBorders/>
          </w:tcPr>
          <w:p>
            <w:pPr>
              <w:pStyle w:val="Normal"/>
              <w:spacing w:lineRule="atLeast" w:line="0" w:before="0" w:after="0"/>
              <w:rPr>
                <w:sz w:val="2"/>
              </w:rPr>
            </w:pPr>
            <w:r>
              <w:rPr>
                <w:sz w:val="2"/>
              </w:rPr>
            </w:r>
          </w:p>
        </w:tc>
      </w:tr>
      <w:tr>
        <w:trPr>
          <w:trHeight w:val="2203" w:hRule="atLeast"/>
        </w:trPr>
        <w:tc>
          <w:tcPr>
            <w:tcW w:w="591"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3.</w:t>
            </w:r>
          </w:p>
        </w:tc>
        <w:tc>
          <w:tcPr>
            <w:tcW w:w="293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ight="106"/>
              <w:rPr>
                <w:bCs/>
                <w:szCs w:val="28"/>
              </w:rPr>
            </w:pPr>
            <w:r>
              <w:rPr>
                <w:bCs/>
                <w:szCs w:val="28"/>
              </w:rPr>
              <w:t>Аналітичні здібності та обґрунтування власної позиції</w:t>
            </w:r>
          </w:p>
        </w:tc>
        <w:tc>
          <w:tcPr>
            <w:tcW w:w="596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
              </w:numPr>
              <w:tabs>
                <w:tab w:val="clear" w:pos="720"/>
                <w:tab w:val="left" w:pos="190" w:leader="none"/>
              </w:tabs>
              <w:suppressAutoHyphens w:val="true"/>
              <w:spacing w:lineRule="auto" w:line="240"/>
              <w:ind w:hanging="0" w:left="0"/>
              <w:rPr>
                <w:color w:val="000000"/>
                <w:szCs w:val="28"/>
              </w:rPr>
            </w:pPr>
            <w:r>
              <w:rPr>
                <w:color w:val="000000"/>
                <w:szCs w:val="28"/>
              </w:rPr>
              <w:t xml:space="preserve"> </w:t>
            </w:r>
            <w:r>
              <w:rPr>
                <w:color w:val="000000"/>
                <w:szCs w:val="28"/>
              </w:rPr>
              <w:t>здатність до логічного мислення, узагальнення, конкретизації, розкладання складних питань на складові, виділяти головне від другорядного, виявляти закономірності;</w:t>
            </w:r>
          </w:p>
          <w:p>
            <w:pPr>
              <w:pStyle w:val="Normal"/>
              <w:widowControl w:val="false"/>
              <w:numPr>
                <w:ilvl w:val="0"/>
                <w:numId w:val="2"/>
              </w:numPr>
              <w:tabs>
                <w:tab w:val="clear" w:pos="720"/>
                <w:tab w:val="left" w:pos="190" w:leader="none"/>
              </w:tabs>
              <w:suppressAutoHyphens w:val="true"/>
              <w:spacing w:lineRule="auto" w:line="240"/>
              <w:ind w:hanging="0" w:left="0"/>
              <w:rPr>
                <w:color w:val="000000"/>
                <w:szCs w:val="28"/>
              </w:rPr>
            </w:pPr>
            <w:r>
              <w:rPr>
                <w:color w:val="000000"/>
                <w:szCs w:val="28"/>
              </w:rPr>
              <w:t>вміння встановлювати причинно-наслідкові зв’язки;</w:t>
            </w:r>
          </w:p>
          <w:p>
            <w:pPr>
              <w:pStyle w:val="Normal"/>
              <w:widowControl w:val="false"/>
              <w:numPr>
                <w:ilvl w:val="0"/>
                <w:numId w:val="2"/>
              </w:numPr>
              <w:tabs>
                <w:tab w:val="clear" w:pos="720"/>
                <w:tab w:val="left" w:pos="190" w:leader="none"/>
              </w:tabs>
              <w:suppressAutoHyphens w:val="true"/>
              <w:spacing w:lineRule="auto" w:line="240"/>
              <w:ind w:hanging="0" w:left="0"/>
              <w:rPr>
                <w:bCs/>
                <w:szCs w:val="28"/>
              </w:rPr>
            </w:pPr>
            <w:r>
              <w:rPr>
                <w:color w:val="000000"/>
                <w:szCs w:val="28"/>
              </w:rPr>
              <w:t>вміння аналізувати інформацію та робити висновки, критично оцінювати ситуації, прогнозувати та робити власні умовиводи</w:t>
            </w:r>
            <w:r>
              <w:rPr>
                <w:bCs/>
                <w:color w:val="000000"/>
                <w:szCs w:val="28"/>
              </w:rPr>
              <w:t>.</w:t>
            </w:r>
          </w:p>
        </w:tc>
        <w:tc>
          <w:tcPr>
            <w:tcW w:w="115" w:type="dxa"/>
            <w:tcBorders/>
          </w:tcPr>
          <w:p>
            <w:pPr>
              <w:pStyle w:val="Normal"/>
              <w:spacing w:lineRule="atLeast" w:line="0" w:before="0" w:after="0"/>
              <w:rPr>
                <w:sz w:val="2"/>
              </w:rPr>
            </w:pPr>
            <w:r>
              <w:rPr>
                <w:sz w:val="2"/>
              </w:rPr>
            </w:r>
          </w:p>
        </w:tc>
      </w:tr>
      <w:tr>
        <w:trPr>
          <w:trHeight w:val="209" w:hRule="atLeast"/>
        </w:trPr>
        <w:tc>
          <w:tcPr>
            <w:tcW w:w="9495" w:type="dxa"/>
            <w:gridSpan w:val="6"/>
            <w:tcBorders>
              <w:top w:val="single" w:sz="4" w:space="0" w:color="000000"/>
              <w:left w:val="single" w:sz="4" w:space="0" w:color="000000"/>
              <w:bottom w:val="single" w:sz="4" w:space="0" w:color="000000"/>
              <w:right w:val="single" w:sz="4" w:space="0" w:color="000000"/>
            </w:tcBorders>
          </w:tcPr>
          <w:p>
            <w:pPr>
              <w:pStyle w:val="Normal"/>
              <w:jc w:val="center"/>
              <w:rPr>
                <w:b/>
                <w:szCs w:val="28"/>
              </w:rPr>
            </w:pPr>
            <w:r>
              <w:rPr>
                <w:b/>
                <w:szCs w:val="28"/>
              </w:rPr>
              <w:t>Професійні знання</w:t>
            </w:r>
          </w:p>
        </w:tc>
        <w:tc>
          <w:tcPr>
            <w:tcW w:w="115" w:type="dxa"/>
            <w:tcBorders/>
          </w:tcPr>
          <w:p>
            <w:pPr>
              <w:pStyle w:val="Normal"/>
              <w:spacing w:lineRule="atLeast" w:line="0" w:before="0" w:after="0"/>
              <w:rPr>
                <w:sz w:val="2"/>
              </w:rPr>
            </w:pPr>
            <w:r>
              <w:rPr>
                <w:sz w:val="2"/>
              </w:rPr>
            </w:r>
          </w:p>
        </w:tc>
      </w:tr>
      <w:tr>
        <w:trPr>
          <w:trHeight w:val="255" w:hRule="atLeast"/>
        </w:trPr>
        <w:tc>
          <w:tcPr>
            <w:tcW w:w="3545" w:type="dxa"/>
            <w:gridSpan w:val="5"/>
            <w:tcBorders>
              <w:top w:val="single" w:sz="4" w:space="0" w:color="000000"/>
              <w:left w:val="single" w:sz="4" w:space="0" w:color="000000"/>
              <w:bottom w:val="single" w:sz="4" w:space="0" w:color="000000"/>
              <w:right w:val="single" w:sz="4" w:space="0" w:color="000000"/>
            </w:tcBorders>
          </w:tcPr>
          <w:p>
            <w:pPr>
              <w:pStyle w:val="Default"/>
              <w:jc w:val="center"/>
              <w:rPr>
                <w:b/>
                <w:bCs/>
                <w:color w:val="auto"/>
                <w:sz w:val="28"/>
                <w:szCs w:val="28"/>
                <w:lang w:eastAsia="ru-RU"/>
              </w:rPr>
            </w:pPr>
            <w:r>
              <w:rPr>
                <w:b/>
                <w:bCs/>
                <w:color w:val="auto"/>
                <w:sz w:val="28"/>
                <w:szCs w:val="28"/>
                <w:lang w:eastAsia="ru-RU"/>
              </w:rPr>
              <w:t>Вимога</w:t>
            </w:r>
          </w:p>
        </w:tc>
        <w:tc>
          <w:tcPr>
            <w:tcW w:w="5950" w:type="dxa"/>
            <w:tcBorders>
              <w:top w:val="single" w:sz="4" w:space="0" w:color="000000"/>
              <w:left w:val="single" w:sz="4" w:space="0" w:color="000000"/>
              <w:bottom w:val="single" w:sz="4" w:space="0" w:color="000000"/>
              <w:right w:val="single" w:sz="4" w:space="0" w:color="000000"/>
            </w:tcBorders>
          </w:tcPr>
          <w:p>
            <w:pPr>
              <w:pStyle w:val="Normal"/>
              <w:jc w:val="center"/>
              <w:rPr>
                <w:b/>
                <w:szCs w:val="28"/>
              </w:rPr>
            </w:pPr>
            <w:r>
              <w:rPr>
                <w:b/>
                <w:szCs w:val="28"/>
              </w:rPr>
              <w:t>Компоненти вимоги</w:t>
            </w:r>
          </w:p>
        </w:tc>
        <w:tc>
          <w:tcPr>
            <w:tcW w:w="115" w:type="dxa"/>
            <w:tcBorders/>
          </w:tcPr>
          <w:p>
            <w:pPr>
              <w:pStyle w:val="Normal"/>
              <w:spacing w:lineRule="atLeast" w:line="0" w:before="0" w:after="0"/>
              <w:rPr>
                <w:sz w:val="2"/>
              </w:rPr>
            </w:pPr>
            <w:r>
              <w:rPr>
                <w:sz w:val="2"/>
              </w:rPr>
            </w:r>
          </w:p>
        </w:tc>
      </w:tr>
      <w:tr>
        <w:trPr>
          <w:trHeight w:val="1800" w:hRule="atLeast"/>
        </w:trPr>
        <w:tc>
          <w:tcPr>
            <w:tcW w:w="540"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1.</w:t>
            </w:r>
          </w:p>
        </w:tc>
        <w:tc>
          <w:tcPr>
            <w:tcW w:w="3005"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Знання законодавства</w:t>
            </w:r>
          </w:p>
        </w:tc>
        <w:tc>
          <w:tcPr>
            <w:tcW w:w="5950" w:type="dxa"/>
            <w:tcBorders>
              <w:top w:val="single" w:sz="4" w:space="0" w:color="000000"/>
              <w:left w:val="single" w:sz="4" w:space="0" w:color="000000"/>
              <w:bottom w:val="single" w:sz="4" w:space="0" w:color="000000"/>
              <w:right w:val="single" w:sz="4" w:space="0" w:color="000000"/>
            </w:tcBorders>
          </w:tcPr>
          <w:p>
            <w:pPr>
              <w:pStyle w:val="Normal"/>
              <w:ind w:hanging="0"/>
              <w:rPr>
                <w:szCs w:val="28"/>
              </w:rPr>
            </w:pPr>
            <w:r>
              <w:rPr>
                <w:szCs w:val="28"/>
              </w:rPr>
              <w:t>Знання:</w:t>
            </w:r>
          </w:p>
          <w:p>
            <w:pPr>
              <w:pStyle w:val="Normal"/>
              <w:ind w:hanging="0"/>
              <w:rPr>
                <w:szCs w:val="28"/>
              </w:rPr>
            </w:pPr>
            <w:r>
              <w:rPr>
                <w:szCs w:val="28"/>
              </w:rPr>
              <w:t>- Конституції України;</w:t>
            </w:r>
          </w:p>
          <w:p>
            <w:pPr>
              <w:pStyle w:val="Normal"/>
              <w:ind w:hanging="0"/>
              <w:rPr>
                <w:szCs w:val="28"/>
              </w:rPr>
            </w:pPr>
            <w:r>
              <w:rPr>
                <w:szCs w:val="28"/>
              </w:rPr>
              <w:t>- Закону України «Про запобігання корупції»;</w:t>
            </w:r>
          </w:p>
          <w:p>
            <w:pPr>
              <w:pStyle w:val="Normal"/>
              <w:ind w:hanging="0"/>
              <w:rPr>
                <w:szCs w:val="28"/>
              </w:rPr>
            </w:pPr>
            <w:r>
              <w:rPr>
                <w:szCs w:val="28"/>
              </w:rPr>
              <w:t xml:space="preserve"> </w:t>
            </w:r>
            <w:r>
              <w:rPr>
                <w:szCs w:val="28"/>
              </w:rPr>
              <w:t>- Закону України «Про державну службу»;</w:t>
            </w:r>
          </w:p>
          <w:p>
            <w:pPr>
              <w:pStyle w:val="Normal"/>
              <w:ind w:firstLine="3"/>
              <w:rPr>
                <w:szCs w:val="28"/>
                <w:lang w:val="ru-RU" w:eastAsia="uk-UA"/>
              </w:rPr>
            </w:pPr>
            <w:r>
              <w:rPr>
                <w:szCs w:val="28"/>
              </w:rPr>
              <w:t>-</w:t>
            </w:r>
            <w:r>
              <w:rPr>
                <w:sz w:val="24"/>
                <w:szCs w:val="24"/>
                <w:lang w:eastAsia="uk-UA"/>
              </w:rPr>
              <w:t xml:space="preserve"> </w:t>
            </w:r>
            <w:r>
              <w:rPr>
                <w:szCs w:val="28"/>
                <w:lang w:eastAsia="uk-UA"/>
              </w:rPr>
              <w:t xml:space="preserve">Закону України </w:t>
            </w:r>
            <w:r>
              <w:rPr>
                <w:szCs w:val="28"/>
              </w:rPr>
              <w:t>«</w:t>
            </w:r>
            <w:r>
              <w:rPr>
                <w:szCs w:val="28"/>
                <w:lang w:eastAsia="uk-UA"/>
              </w:rPr>
              <w:t>Про доступ до публічної інформації</w:t>
            </w:r>
            <w:r>
              <w:rPr>
                <w:szCs w:val="28"/>
              </w:rPr>
              <w:t>»;</w:t>
            </w:r>
          </w:p>
          <w:p>
            <w:pPr>
              <w:pStyle w:val="Normal"/>
              <w:ind w:hanging="0"/>
              <w:rPr>
                <w:szCs w:val="28"/>
              </w:rPr>
            </w:pPr>
            <w:r>
              <w:rPr>
                <w:szCs w:val="28"/>
                <w:lang w:val="ru-RU" w:eastAsia="uk-UA"/>
              </w:rPr>
              <w:t xml:space="preserve">- </w:t>
            </w:r>
            <w:r>
              <w:rPr>
                <w:szCs w:val="28"/>
                <w:lang w:eastAsia="uk-UA"/>
              </w:rPr>
              <w:t xml:space="preserve">Закону України </w:t>
            </w:r>
            <w:r>
              <w:rPr>
                <w:szCs w:val="28"/>
              </w:rPr>
              <w:t>«</w:t>
            </w:r>
            <w:r>
              <w:rPr>
                <w:szCs w:val="28"/>
                <w:lang w:eastAsia="uk-UA"/>
              </w:rPr>
              <w:t>Про захист персональних даних</w:t>
            </w:r>
            <w:r>
              <w:rPr>
                <w:szCs w:val="28"/>
              </w:rPr>
              <w:t>»</w:t>
            </w:r>
            <w:r>
              <w:rPr>
                <w:szCs w:val="28"/>
                <w:lang w:eastAsia="uk-UA"/>
              </w:rPr>
              <w:t>.</w:t>
            </w:r>
          </w:p>
        </w:tc>
        <w:tc>
          <w:tcPr>
            <w:tcW w:w="115" w:type="dxa"/>
            <w:tcBorders/>
          </w:tcPr>
          <w:p>
            <w:pPr>
              <w:pStyle w:val="Normal"/>
              <w:spacing w:lineRule="atLeast" w:line="0" w:before="0" w:after="0"/>
              <w:rPr>
                <w:sz w:val="2"/>
              </w:rPr>
            </w:pPr>
            <w:r>
              <w:rPr>
                <w:sz w:val="2"/>
              </w:rPr>
            </w:r>
          </w:p>
        </w:tc>
      </w:tr>
      <w:tr>
        <w:trPr>
          <w:trHeight w:val="240" w:hRule="atLeast"/>
        </w:trPr>
        <w:tc>
          <w:tcPr>
            <w:tcW w:w="540"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2.</w:t>
            </w:r>
          </w:p>
        </w:tc>
        <w:tc>
          <w:tcPr>
            <w:tcW w:w="3005"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Знання законодавства у сфері</w:t>
            </w:r>
          </w:p>
        </w:tc>
        <w:tc>
          <w:tcPr>
            <w:tcW w:w="5950" w:type="dxa"/>
            <w:tcBorders>
              <w:top w:val="single" w:sz="4" w:space="0" w:color="000000"/>
              <w:left w:val="single" w:sz="4" w:space="0" w:color="000000"/>
              <w:bottom w:val="single" w:sz="4" w:space="0" w:color="000000"/>
              <w:right w:val="single" w:sz="4" w:space="0" w:color="000000"/>
            </w:tcBorders>
          </w:tcPr>
          <w:p>
            <w:pPr>
              <w:pStyle w:val="Normal"/>
              <w:ind w:hanging="0"/>
              <w:rPr>
                <w:szCs w:val="28"/>
                <w:lang w:eastAsia="zh-CN"/>
              </w:rPr>
            </w:pPr>
            <w:r>
              <w:rPr>
                <w:szCs w:val="28"/>
              </w:rPr>
              <w:t>Знання:</w:t>
            </w:r>
          </w:p>
          <w:p>
            <w:pPr>
              <w:pStyle w:val="NormalWeb"/>
              <w:shd w:val="clear" w:color="auto" w:fill="FFFFFF"/>
              <w:spacing w:beforeAutospacing="0" w:before="0" w:afterAutospacing="0" w:after="0"/>
              <w:ind w:firstLine="147"/>
              <w:jc w:val="both"/>
              <w:rPr>
                <w:bCs/>
                <w:sz w:val="28"/>
                <w:szCs w:val="28"/>
                <w:lang w:val="uk-UA" w:eastAsia="uk-UA"/>
              </w:rPr>
            </w:pPr>
            <w:r>
              <w:rPr>
                <w:bCs/>
                <w:sz w:val="28"/>
                <w:szCs w:val="28"/>
                <w:lang w:val="uk-UA" w:eastAsia="uk-UA"/>
              </w:rPr>
              <w:t>- Закону України від 25.12.2015 № 922-VIІI «Про публічні закупівлі»;</w:t>
            </w:r>
          </w:p>
          <w:p>
            <w:pPr>
              <w:pStyle w:val="NormalWeb"/>
              <w:shd w:val="clear" w:color="auto" w:fill="FFFFFF"/>
              <w:spacing w:beforeAutospacing="0" w:before="0" w:afterAutospacing="0" w:after="0"/>
              <w:ind w:firstLine="147"/>
              <w:jc w:val="both"/>
              <w:rPr>
                <w:bCs/>
                <w:sz w:val="28"/>
                <w:szCs w:val="28"/>
                <w:lang w:val="uk-UA" w:eastAsia="uk-UA"/>
              </w:rPr>
            </w:pPr>
            <w:r>
              <w:rPr>
                <w:bCs/>
                <w:sz w:val="28"/>
                <w:szCs w:val="28"/>
                <w:lang w:val="uk-UA" w:eastAsia="uk-UA"/>
              </w:rPr>
              <w:t>- Закону України від 16.07.1999 № 996-XIV «Про бухгалтерський облік та фінансову звітність в Україні»;</w:t>
            </w:r>
          </w:p>
          <w:p>
            <w:pPr>
              <w:pStyle w:val="NormalWeb"/>
              <w:shd w:val="clear" w:color="auto" w:fill="FFFFFF"/>
              <w:tabs>
                <w:tab w:val="clear" w:pos="720"/>
                <w:tab w:val="left" w:pos="851" w:leader="none"/>
              </w:tabs>
              <w:spacing w:beforeAutospacing="0" w:before="0" w:afterAutospacing="0" w:after="0"/>
              <w:ind w:firstLine="147"/>
              <w:jc w:val="both"/>
              <w:rPr>
                <w:bCs/>
                <w:sz w:val="28"/>
                <w:szCs w:val="28"/>
                <w:lang w:val="uk-UA" w:eastAsia="uk-UA"/>
              </w:rPr>
            </w:pPr>
            <w:r>
              <w:rPr>
                <w:bCs/>
                <w:sz w:val="28"/>
                <w:szCs w:val="28"/>
                <w:lang w:val="uk-UA" w:eastAsia="uk-UA"/>
              </w:rPr>
              <w:t>- Закону України від 11.02.2015 № 183-VIII «Про відкритість використання публічних коштів»;</w:t>
            </w:r>
          </w:p>
          <w:p>
            <w:pPr>
              <w:pStyle w:val="NormalWeb"/>
              <w:shd w:val="clear" w:color="auto" w:fill="FFFFFF"/>
              <w:spacing w:beforeAutospacing="0" w:before="0" w:afterAutospacing="0" w:after="0"/>
              <w:ind w:firstLine="147"/>
              <w:jc w:val="both"/>
              <w:rPr>
                <w:bCs/>
                <w:sz w:val="28"/>
                <w:szCs w:val="28"/>
                <w:lang w:val="uk-UA" w:eastAsia="uk-UA"/>
              </w:rPr>
            </w:pPr>
            <w:r>
              <w:rPr>
                <w:bCs/>
                <w:sz w:val="28"/>
                <w:szCs w:val="28"/>
                <w:lang w:val="uk-UA" w:eastAsia="uk-UA"/>
              </w:rPr>
              <w:t>- Бюджетного кодексу України від 08.07.2010 № 2456-VI;</w:t>
            </w:r>
          </w:p>
          <w:p>
            <w:pPr>
              <w:pStyle w:val="NormalWeb"/>
              <w:shd w:val="clear" w:color="auto" w:fill="FFFFFF"/>
              <w:spacing w:beforeAutospacing="0" w:before="0" w:afterAutospacing="0" w:after="0"/>
              <w:ind w:firstLine="147"/>
              <w:jc w:val="both"/>
              <w:rPr>
                <w:bCs/>
                <w:sz w:val="28"/>
                <w:szCs w:val="28"/>
                <w:lang w:val="uk-UA" w:eastAsia="uk-UA"/>
              </w:rPr>
            </w:pPr>
            <w:r>
              <w:rPr>
                <w:bCs/>
                <w:sz w:val="28"/>
                <w:szCs w:val="28"/>
                <w:lang w:val="uk-UA" w:eastAsia="uk-UA"/>
              </w:rPr>
              <w:t>- Податкового кодексу України від 02.12.2010 № 2755- VI;</w:t>
            </w:r>
          </w:p>
          <w:p>
            <w:pPr>
              <w:pStyle w:val="Normal"/>
              <w:ind w:hanging="0"/>
              <w:rPr>
                <w:szCs w:val="28"/>
              </w:rPr>
            </w:pPr>
            <w:r>
              <w:rPr>
                <w:bCs/>
                <w:szCs w:val="28"/>
                <w:lang w:eastAsia="uk-UA"/>
              </w:rPr>
              <w:t>- наказу Міністерства фінансів України від 31.12.2013 № 1203 «Про затвердження Плану рахунків бухгалтерського обліку в державному секторі»</w:t>
            </w:r>
          </w:p>
        </w:tc>
        <w:tc>
          <w:tcPr>
            <w:tcW w:w="115" w:type="dxa"/>
            <w:tcBorders/>
          </w:tcPr>
          <w:p>
            <w:pPr>
              <w:pStyle w:val="Normal"/>
              <w:spacing w:lineRule="atLeast" w:line="0" w:before="0" w:after="0"/>
              <w:rPr>
                <w:sz w:val="2"/>
              </w:rPr>
            </w:pPr>
            <w:r>
              <w:rPr>
                <w:sz w:val="2"/>
              </w:rPr>
            </w:r>
          </w:p>
        </w:tc>
      </w:tr>
    </w:tbl>
    <w:p>
      <w:pPr>
        <w:pStyle w:val="Style17"/>
        <w:ind w:hanging="0"/>
        <w:jc w:val="center"/>
        <w:rPr>
          <w:bCs/>
          <w:szCs w:val="28"/>
        </w:rPr>
      </w:pPr>
      <w:bookmarkStart w:id="0" w:name="_Hlk218505826"/>
      <w:r>
        <w:rPr>
          <w:bCs/>
          <w:szCs w:val="28"/>
        </w:rPr>
        <w:t>______________________</w:t>
      </w:r>
      <w:bookmarkEnd w:id="0"/>
    </w:p>
    <w:p>
      <w:pPr>
        <w:pStyle w:val="Style17"/>
        <w:ind w:hanging="0"/>
        <w:rPr>
          <w:bCs/>
          <w:szCs w:val="28"/>
        </w:rPr>
      </w:pPr>
      <w:r>
        <w:rPr>
          <w:bCs/>
          <w:szCs w:val="28"/>
        </w:rPr>
      </w:r>
    </w:p>
    <w:p>
      <w:pPr>
        <w:pStyle w:val="Style17"/>
        <w:ind w:hanging="0"/>
        <w:rPr>
          <w:bCs/>
          <w:szCs w:val="28"/>
        </w:rPr>
      </w:pPr>
      <w:r>
        <w:rPr>
          <w:bCs/>
          <w:szCs w:val="28"/>
        </w:rPr>
      </w:r>
    </w:p>
    <w:p>
      <w:pPr>
        <w:pStyle w:val="Style17"/>
        <w:ind w:hanging="0"/>
        <w:rPr>
          <w:bCs/>
          <w:szCs w:val="28"/>
        </w:rPr>
      </w:pPr>
      <w:r>
        <w:rPr>
          <w:bCs/>
          <w:szCs w:val="28"/>
        </w:rPr>
      </w:r>
    </w:p>
    <w:sectPr>
      <w:headerReference w:type="even" r:id="rId2"/>
      <w:headerReference w:type="default" r:id="rId3"/>
      <w:headerReference w:type="first" r:id="rId4"/>
      <w:type w:val="nextPage"/>
      <w:pgSz w:w="11906" w:h="16838"/>
      <w:pgMar w:left="1701" w:right="567" w:gutter="0" w:header="567" w:top="624" w:footer="0" w:bottom="568"/>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Segoe UI">
    <w:charset w:val="cc"/>
    <w:family w:val="swiss"/>
    <w:pitch w:val="variable"/>
  </w:font>
  <w:font w:name="Liberation Sans">
    <w:altName w:val="Arial"/>
    <w:charset w:val="cc"/>
    <w:family w:val="swiss"/>
    <w:pitch w:val="variable"/>
  </w:font>
  <w:font w:name="Courier New">
    <w:charset w:val="cc"/>
    <w:family w:val="roman"/>
    <w:pitch w:val="variable"/>
  </w:font>
  <w:font w:name="OpenSymbol">
    <w:altName w:val="Arial Unicode MS"/>
    <w:charset w:val="01"/>
    <w:family w:val="auto"/>
    <w:pitch w:val="variable"/>
  </w:font>
  <w:font w:name="Courier New">
    <w:charset w:val="01"/>
    <w:family w:val="modern"/>
    <w:pitch w:val="fixed"/>
  </w:font>
  <w:font w:name="Noto Sans Symbols">
    <w:charset w:val="01"/>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mc:AlternateContent>
        <mc:Choice Requires="wps">
          <w:drawing>
            <wp:anchor behindDoc="1" distT="0" distB="0" distL="0" distR="0" simplePos="0" locked="0" layoutInCell="0" allowOverlap="1" relativeHeight="8">
              <wp:simplePos x="0" y="0"/>
              <wp:positionH relativeFrom="margin">
                <wp:align>center</wp:align>
              </wp:positionH>
              <wp:positionV relativeFrom="paragraph">
                <wp:posOffset>635</wp:posOffset>
              </wp:positionV>
              <wp:extent cx="14605" cy="14605"/>
              <wp:effectExtent l="0" t="0" r="0" b="0"/>
              <wp:wrapSquare wrapText="bothSides"/>
              <wp:docPr id="1" name="Рам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Normal"/>
                            <w:rPr>
                              <w:color w:val="000000"/>
                            </w:rPr>
                          </w:pPr>
                          <w:r>
                            <w:rPr>
                              <w:color w:val="000000"/>
                            </w:rPr>
                            <w:fldChar w:fldCharType="begin"/>
                          </w:r>
                          <w:r>
                            <w:rPr>
                              <w:color w:val="000000"/>
                            </w:rPr>
                            <w:instrText xml:space="preserve"> PAGE </w:instrText>
                          </w:r>
                          <w:r>
                            <w:rPr>
                              <w:color w:val="000000"/>
                            </w:rPr>
                            <w:fldChar w:fldCharType="separate"/>
                          </w:r>
                          <w:r>
                            <w:rPr>
                              <w:color w:val="000000"/>
                            </w:rPr>
                            <w:t>0</w:t>
                          </w:r>
                          <w:r>
                            <w:rPr>
                              <w:color w:val="000000"/>
                            </w:rPr>
                            <w:fldChar w:fldCharType="end"/>
                          </w:r>
                        </w:p>
                      </w:txbxContent>
                    </wps:txbx>
                    <wps:bodyPr lIns="0" tIns="0" rIns="0" bIns="0" anchor="t">
                      <a:spAutoFit/>
                    </wps:bodyPr>
                  </wps:wsp>
                </a:graphicData>
              </a:graphic>
            </wp:anchor>
          </w:drawing>
        </mc:Choice>
        <mc:Fallback>
          <w:pict>
            <v:rect id="shape_0" stroked="f" o:allowincell="f" style="position:absolute;margin-left:0pt;margin-top:0.05pt;width:1.1pt;height:1.1pt;mso-wrap-style:square;v-text-anchor:top;mso-position-horizontal:center;mso-position-horizontal-relative:margin">
              <v:fill o:detectmouseclick="t" on="false"/>
              <v:stroke color="#3465a4" joinstyle="round" endcap="flat"/>
              <v:textbox>
                <w:txbxContent>
                  <w:p>
                    <w:pPr>
                      <w:pStyle w:val="Normal"/>
                      <w:rPr>
                        <w:color w:val="000000"/>
                      </w:rPr>
                    </w:pPr>
                    <w:r>
                      <w:rPr>
                        <w:color w:val="000000"/>
                      </w:rPr>
                      <w:fldChar w:fldCharType="begin"/>
                    </w:r>
                    <w:r>
                      <w:rPr>
                        <w:color w:val="000000"/>
                      </w:rPr>
                      <w:instrText xml:space="preserve"> PAGE </w:instrText>
                    </w:r>
                    <w:r>
                      <w:rPr>
                        <w:color w:val="000000"/>
                      </w:rPr>
                      <w:fldChar w:fldCharType="separate"/>
                    </w:r>
                    <w:r>
                      <w:rPr>
                        <w:color w:val="000000"/>
                      </w:rPr>
                      <w:t>0</w:t>
                    </w:r>
                    <w:r>
                      <w:rPr>
                        <w:color w:val="000000"/>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20"/>
      </w:rPr>
    </w:pPr>
    <w:r>
      <w:rPr>
        <w:sz w:val="20"/>
      </w:rPr>
      <mc:AlternateContent>
        <mc:Choice Requires="wps">
          <w:drawing>
            <wp:anchor behindDoc="1" distT="0" distB="635" distL="0" distR="0" simplePos="0" locked="0" layoutInCell="0" allowOverlap="1" relativeHeight="6">
              <wp:simplePos x="0" y="0"/>
              <wp:positionH relativeFrom="margin">
                <wp:align>center</wp:align>
              </wp:positionH>
              <wp:positionV relativeFrom="paragraph">
                <wp:posOffset>635</wp:posOffset>
              </wp:positionV>
              <wp:extent cx="527050" cy="173990"/>
              <wp:effectExtent l="0" t="0" r="0" b="0"/>
              <wp:wrapSquare wrapText="bothSides"/>
              <wp:docPr id="2" name="Рамка2"/>
              <a:graphic xmlns:a="http://schemas.openxmlformats.org/drawingml/2006/main">
                <a:graphicData uri="http://schemas.microsoft.com/office/word/2010/wordprocessingShape">
                  <wps:wsp>
                    <wps:cNvSpPr/>
                    <wps:spPr>
                      <a:xfrm>
                        <a:off x="0" y="0"/>
                        <a:ext cx="527040" cy="173880"/>
                      </a:xfrm>
                      <a:prstGeom prst="rect">
                        <a:avLst/>
                      </a:prstGeom>
                      <a:noFill/>
                      <a:ln w="0">
                        <a:noFill/>
                      </a:ln>
                    </wps:spPr>
                    <wps:style>
                      <a:lnRef idx="0"/>
                      <a:fillRef idx="0"/>
                      <a:effectRef idx="0"/>
                      <a:fontRef idx="minor"/>
                    </wps:style>
                    <wps:txbx>
                      <w:txbxContent>
                        <w:p>
                          <w:pPr>
                            <w:pStyle w:val="Normal"/>
                            <w:rPr>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Pr>
                              <w:color w:val="000000"/>
                              <w:sz w:val="24"/>
                              <w:szCs w:val="24"/>
                            </w:rPr>
                            <w:t>4</w:t>
                          </w:r>
                          <w:r>
                            <w:rPr>
                              <w:color w:val="000000"/>
                              <w:sz w:val="24"/>
                              <w:szCs w:val="24"/>
                            </w:rPr>
                            <w:fldChar w:fldCharType="end"/>
                          </w:r>
                        </w:p>
                      </w:txbxContent>
                    </wps:txbx>
                    <wps:bodyPr lIns="0" tIns="0" rIns="0" bIns="0" anchor="t">
                      <a:spAutoFit/>
                    </wps:bodyPr>
                  </wps:wsp>
                </a:graphicData>
              </a:graphic>
            </wp:anchor>
          </w:drawing>
        </mc:Choice>
        <mc:Fallback>
          <w:pict>
            <v:rect id="shape_0" stroked="f" o:allowincell="f" style="position:absolute;margin-left:220.2pt;margin-top:0.05pt;width:41.45pt;height:13.65pt;mso-wrap-style:square;v-text-anchor:top;mso-position-horizontal:center;mso-position-horizontal-relative:margin">
              <v:fill o:detectmouseclick="t" on="false"/>
              <v:stroke color="#3465a4" joinstyle="round" endcap="flat"/>
              <v:textbox>
                <w:txbxContent>
                  <w:p>
                    <w:pPr>
                      <w:pStyle w:val="Normal"/>
                      <w:rPr>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Pr>
                        <w:color w:val="000000"/>
                        <w:sz w:val="24"/>
                        <w:szCs w:val="24"/>
                      </w:rPr>
                      <w:t>4</w:t>
                    </w:r>
                    <w:r>
                      <w:rPr>
                        <w:color w:val="000000"/>
                        <w:sz w:val="24"/>
                        <w:szCs w:val="24"/>
                      </w:rPr>
                      <w:fldChar w:fldCharType="end"/>
                    </w:r>
                  </w:p>
                </w:txbxContent>
              </v:textbox>
              <w10:wrap type="squar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414" w:hanging="360"/>
      </w:pPr>
      <w:rPr>
        <w:rFonts w:ascii="Times New Roman" w:hAnsi="Times New Roman"/>
        <w:sz w:val="28"/>
      </w:rPr>
    </w:lvl>
    <w:lvl w:ilvl="1">
      <w:start w:val="1"/>
      <w:numFmt w:val="lowerLetter"/>
      <w:lvlText w:val="%2."/>
      <w:lvlJc w:val="left"/>
      <w:pPr>
        <w:tabs>
          <w:tab w:val="num" w:pos="0"/>
        </w:tabs>
        <w:ind w:left="1134" w:hanging="360"/>
      </w:pPr>
      <w:rPr/>
    </w:lvl>
    <w:lvl w:ilvl="2">
      <w:start w:val="1"/>
      <w:numFmt w:val="lowerRoman"/>
      <w:lvlText w:val="%3."/>
      <w:lvlJc w:val="right"/>
      <w:pPr>
        <w:tabs>
          <w:tab w:val="num" w:pos="0"/>
        </w:tabs>
        <w:ind w:left="1854" w:hanging="180"/>
      </w:pPr>
      <w:rPr/>
    </w:lvl>
    <w:lvl w:ilvl="3">
      <w:start w:val="1"/>
      <w:numFmt w:val="decimal"/>
      <w:lvlText w:val="%4."/>
      <w:lvlJc w:val="left"/>
      <w:pPr>
        <w:tabs>
          <w:tab w:val="num" w:pos="0"/>
        </w:tabs>
        <w:ind w:left="2574" w:hanging="360"/>
      </w:pPr>
      <w:rPr/>
    </w:lvl>
    <w:lvl w:ilvl="4">
      <w:start w:val="1"/>
      <w:numFmt w:val="lowerLetter"/>
      <w:lvlText w:val="%5."/>
      <w:lvlJc w:val="left"/>
      <w:pPr>
        <w:tabs>
          <w:tab w:val="num" w:pos="0"/>
        </w:tabs>
        <w:ind w:left="3294" w:hanging="360"/>
      </w:pPr>
      <w:rPr/>
    </w:lvl>
    <w:lvl w:ilvl="5">
      <w:start w:val="1"/>
      <w:numFmt w:val="lowerRoman"/>
      <w:lvlText w:val="%6."/>
      <w:lvlJc w:val="right"/>
      <w:pPr>
        <w:tabs>
          <w:tab w:val="num" w:pos="0"/>
        </w:tabs>
        <w:ind w:left="4014" w:hanging="180"/>
      </w:pPr>
      <w:rPr/>
    </w:lvl>
    <w:lvl w:ilvl="6">
      <w:start w:val="1"/>
      <w:numFmt w:val="decimal"/>
      <w:lvlText w:val="%7."/>
      <w:lvlJc w:val="left"/>
      <w:pPr>
        <w:tabs>
          <w:tab w:val="num" w:pos="0"/>
        </w:tabs>
        <w:ind w:left="4734" w:hanging="360"/>
      </w:pPr>
      <w:rPr/>
    </w:lvl>
    <w:lvl w:ilvl="7">
      <w:start w:val="1"/>
      <w:numFmt w:val="lowerLetter"/>
      <w:lvlText w:val="%8."/>
      <w:lvlJc w:val="left"/>
      <w:pPr>
        <w:tabs>
          <w:tab w:val="num" w:pos="0"/>
        </w:tabs>
        <w:ind w:left="5454" w:hanging="360"/>
      </w:pPr>
      <w:rPr/>
    </w:lvl>
    <w:lvl w:ilvl="8">
      <w:start w:val="1"/>
      <w:numFmt w:val="lowerRoman"/>
      <w:lvlText w:val="%9."/>
      <w:lvlJc w:val="right"/>
      <w:pPr>
        <w:tabs>
          <w:tab w:val="num" w:pos="0"/>
        </w:tabs>
        <w:ind w:left="6174" w:hanging="180"/>
      </w:pPr>
      <w:rPr/>
    </w:lvl>
  </w:abstractNum>
  <w:abstractNum w:abstractNumId="2">
    <w:lvl w:ilvl="0">
      <w:start w:val="1"/>
      <w:numFmt w:val="bullet"/>
      <w:lvlText w:val="-"/>
      <w:lvlJc w:val="left"/>
      <w:pPr>
        <w:tabs>
          <w:tab w:val="num" w:pos="0"/>
        </w:tabs>
        <w:ind w:left="2061" w:hanging="360"/>
      </w:pPr>
      <w:rPr>
        <w:rFonts w:ascii="OpenSymbol" w:hAnsi="OpenSymbol" w:cs="OpenSymbol" w:hint="default"/>
      </w:rPr>
    </w:lvl>
    <w:lvl w:ilvl="1">
      <w:start w:val="1"/>
      <w:numFmt w:val="bullet"/>
      <w:lvlText w:val="o"/>
      <w:lvlJc w:val="left"/>
      <w:pPr>
        <w:tabs>
          <w:tab w:val="num" w:pos="0"/>
        </w:tabs>
        <w:ind w:left="2781" w:hanging="360"/>
      </w:pPr>
      <w:rPr>
        <w:rFonts w:ascii="Courier New" w:hAnsi="Courier New" w:cs="Courier New" w:hint="default"/>
      </w:rPr>
    </w:lvl>
    <w:lvl w:ilvl="2">
      <w:start w:val="1"/>
      <w:numFmt w:val="bullet"/>
      <w:lvlText w:val="▪"/>
      <w:lvlJc w:val="left"/>
      <w:pPr>
        <w:tabs>
          <w:tab w:val="num" w:pos="0"/>
        </w:tabs>
        <w:ind w:left="3501" w:hanging="360"/>
      </w:pPr>
      <w:rPr>
        <w:rFonts w:ascii="Noto Sans Symbols" w:hAnsi="Noto Sans Symbols" w:cs="Noto Sans Symbols" w:hint="default"/>
      </w:rPr>
    </w:lvl>
    <w:lvl w:ilvl="3">
      <w:start w:val="1"/>
      <w:numFmt w:val="bullet"/>
      <w:lvlText w:val="●"/>
      <w:lvlJc w:val="left"/>
      <w:pPr>
        <w:tabs>
          <w:tab w:val="num" w:pos="0"/>
        </w:tabs>
        <w:ind w:left="4221" w:hanging="360"/>
      </w:pPr>
      <w:rPr>
        <w:rFonts w:ascii="Noto Sans Symbols" w:hAnsi="Noto Sans Symbols" w:cs="Noto Sans Symbols" w:hint="default"/>
      </w:rPr>
    </w:lvl>
    <w:lvl w:ilvl="4">
      <w:start w:val="1"/>
      <w:numFmt w:val="bullet"/>
      <w:lvlText w:val="o"/>
      <w:lvlJc w:val="left"/>
      <w:pPr>
        <w:tabs>
          <w:tab w:val="num" w:pos="0"/>
        </w:tabs>
        <w:ind w:left="4941" w:hanging="360"/>
      </w:pPr>
      <w:rPr>
        <w:rFonts w:ascii="Courier New" w:hAnsi="Courier New" w:cs="Courier New" w:hint="default"/>
      </w:rPr>
    </w:lvl>
    <w:lvl w:ilvl="5">
      <w:start w:val="1"/>
      <w:numFmt w:val="bullet"/>
      <w:lvlText w:val="▪"/>
      <w:lvlJc w:val="left"/>
      <w:pPr>
        <w:tabs>
          <w:tab w:val="num" w:pos="0"/>
        </w:tabs>
        <w:ind w:left="5661" w:hanging="360"/>
      </w:pPr>
      <w:rPr>
        <w:rFonts w:ascii="Noto Sans Symbols" w:hAnsi="Noto Sans Symbols" w:cs="Noto Sans Symbols" w:hint="default"/>
      </w:rPr>
    </w:lvl>
    <w:lvl w:ilvl="6">
      <w:start w:val="1"/>
      <w:numFmt w:val="bullet"/>
      <w:lvlText w:val="●"/>
      <w:lvlJc w:val="left"/>
      <w:pPr>
        <w:tabs>
          <w:tab w:val="num" w:pos="0"/>
        </w:tabs>
        <w:ind w:left="6381" w:hanging="360"/>
      </w:pPr>
      <w:rPr>
        <w:rFonts w:ascii="Noto Sans Symbols" w:hAnsi="Noto Sans Symbols" w:cs="Noto Sans Symbols" w:hint="default"/>
      </w:rPr>
    </w:lvl>
    <w:lvl w:ilvl="7">
      <w:start w:val="1"/>
      <w:numFmt w:val="bullet"/>
      <w:lvlText w:val="o"/>
      <w:lvlJc w:val="left"/>
      <w:pPr>
        <w:tabs>
          <w:tab w:val="num" w:pos="0"/>
        </w:tabs>
        <w:ind w:left="7101" w:hanging="360"/>
      </w:pPr>
      <w:rPr>
        <w:rFonts w:ascii="Courier New" w:hAnsi="Courier New" w:cs="Courier New" w:hint="default"/>
      </w:rPr>
    </w:lvl>
    <w:lvl w:ilvl="8">
      <w:start w:val="1"/>
      <w:numFmt w:val="bullet"/>
      <w:lvlText w:val="▪"/>
      <w:lvlJc w:val="left"/>
      <w:pPr>
        <w:tabs>
          <w:tab w:val="num" w:pos="0"/>
        </w:tabs>
        <w:ind w:left="7821" w:hanging="360"/>
      </w:pPr>
      <w:rPr>
        <w:rFonts w:ascii="Noto Sans Symbols" w:hAnsi="Noto Sans Symbols" w:cs="Noto Sans Symbol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embedSystemFonts/>
  <w:defaultTabStop w:val="720"/>
  <w:autoHyphenation w:val="true"/>
  <w:hyphenationZone w:val="0"/>
  <w:compat>
    <w:compatSetting w:name="compatibilityMode" w:uri="http://schemas.microsoft.com/office/word" w:val="12"/>
  </w:compat>
  <w:docVars>
    <w:docVar w:name="StepHandle" w:val="262696"/>
  </w:docVars>
  <w:themeFontLang w:val="uk-U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uk-UA" w:eastAsia="uk-UA"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0" w:semiHidden="0" w:unhideWhenUsed="0" w:qFormat="1"/>
    <w:lsdException w:name="heading 4" w:uiPriority="9"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174f4"/>
    <w:pPr>
      <w:widowControl/>
      <w:suppressAutoHyphens w:val="true"/>
      <w:bidi w:val="0"/>
      <w:spacing w:lineRule="auto" w:line="276" w:before="0" w:after="0"/>
      <w:ind w:firstLine="709"/>
      <w:jc w:val="both"/>
    </w:pPr>
    <w:rPr>
      <w:rFonts w:ascii="Times New Roman" w:hAnsi="Times New Roman" w:eastAsia="Times New Roman" w:cs="Times New Roman"/>
      <w:color w:val="auto"/>
      <w:kern w:val="0"/>
      <w:sz w:val="28"/>
      <w:szCs w:val="20"/>
      <w:lang w:val="uk-UA" w:eastAsia="ru-RU" w:bidi="ar-SA"/>
    </w:rPr>
  </w:style>
  <w:style w:type="paragraph" w:styleId="Heading1">
    <w:name w:val="heading 1"/>
    <w:basedOn w:val="Normal"/>
    <w:next w:val="Normal"/>
    <w:qFormat/>
    <w:rsid w:val="00a0742f"/>
    <w:pPr>
      <w:keepNext w:val="true"/>
      <w:spacing w:before="240" w:after="0"/>
      <w:ind w:left="567"/>
      <w:outlineLvl w:val="0"/>
    </w:pPr>
    <w:rPr>
      <w:b/>
      <w:smallCaps/>
    </w:rPr>
  </w:style>
  <w:style w:type="paragraph" w:styleId="Heading2">
    <w:name w:val="heading 2"/>
    <w:basedOn w:val="Normal"/>
    <w:next w:val="Normal"/>
    <w:qFormat/>
    <w:rsid w:val="00a0742f"/>
    <w:pPr>
      <w:keepNext w:val="true"/>
      <w:spacing w:before="120" w:after="0"/>
      <w:ind w:left="567"/>
      <w:outlineLvl w:val="1"/>
    </w:pPr>
    <w:rPr>
      <w:b/>
    </w:rPr>
  </w:style>
  <w:style w:type="paragraph" w:styleId="Heading3">
    <w:name w:val="heading 3"/>
    <w:basedOn w:val="Normal"/>
    <w:next w:val="Normal"/>
    <w:link w:val="31"/>
    <w:qFormat/>
    <w:rsid w:val="00a0742f"/>
    <w:pPr>
      <w:keepNext w:val="true"/>
      <w:spacing w:before="120" w:after="0"/>
      <w:ind w:left="567"/>
      <w:outlineLvl w:val="2"/>
    </w:pPr>
    <w:rPr>
      <w:b/>
      <w:i/>
    </w:rPr>
  </w:style>
  <w:style w:type="paragraph" w:styleId="Heading4">
    <w:name w:val="heading 4"/>
    <w:basedOn w:val="Normal"/>
    <w:next w:val="Normal"/>
    <w:qFormat/>
    <w:rsid w:val="00a0742f"/>
    <w:pPr>
      <w:keepNext w:val="true"/>
      <w:spacing w:before="120" w:after="0"/>
      <w:ind w:left="567"/>
      <w:outlineLvl w:val="3"/>
    </w:pPr>
    <w:rPr/>
  </w:style>
  <w:style w:type="character" w:styleId="DefaultParagraphFont" w:default="1">
    <w:name w:val="Default Paragraph Font"/>
    <w:uiPriority w:val="1"/>
    <w:semiHidden/>
    <w:unhideWhenUsed/>
    <w:qFormat/>
    <w:rPr/>
  </w:style>
  <w:style w:type="character" w:styleId="Hyperlink">
    <w:name w:val="Hyperlink"/>
    <w:uiPriority w:val="99"/>
    <w:unhideWhenUsed/>
    <w:rsid w:val="009a0ab5"/>
    <w:rPr>
      <w:color w:val="0000FF"/>
      <w:u w:val="single"/>
    </w:rPr>
  </w:style>
  <w:style w:type="character" w:styleId="Style10" w:customStyle="1">
    <w:name w:val="Текст выноски Знак"/>
    <w:basedOn w:val="DefaultParagraphFont"/>
    <w:link w:val="BalloonText"/>
    <w:uiPriority w:val="99"/>
    <w:semiHidden/>
    <w:qFormat/>
    <w:rsid w:val="00c6272e"/>
    <w:rPr>
      <w:rFonts w:ascii="Segoe UI" w:hAnsi="Segoe UI" w:cs="Segoe UI"/>
      <w:sz w:val="18"/>
      <w:szCs w:val="18"/>
      <w:lang w:eastAsia="ru-RU"/>
    </w:rPr>
  </w:style>
  <w:style w:type="character" w:styleId="UnresolvedMention" w:customStyle="1">
    <w:name w:val="Unresolved Mention"/>
    <w:basedOn w:val="DefaultParagraphFont"/>
    <w:uiPriority w:val="99"/>
    <w:semiHidden/>
    <w:unhideWhenUsed/>
    <w:qFormat/>
    <w:rsid w:val="0013193b"/>
    <w:rPr>
      <w:color w:val="605E5C"/>
      <w:shd w:fill="E1DFDD" w:val="clear"/>
    </w:rPr>
  </w:style>
  <w:style w:type="character" w:styleId="rvts46" w:customStyle="1">
    <w:name w:val="rvts46"/>
    <w:basedOn w:val="DefaultParagraphFont"/>
    <w:qFormat/>
    <w:rsid w:val="00617106"/>
    <w:rPr/>
  </w:style>
  <w:style w:type="character" w:styleId="rvts37" w:customStyle="1">
    <w:name w:val="rvts37"/>
    <w:basedOn w:val="DefaultParagraphFont"/>
    <w:qFormat/>
    <w:rsid w:val="00617106"/>
    <w:rPr/>
  </w:style>
  <w:style w:type="character" w:styleId="rvts11" w:customStyle="1">
    <w:name w:val="rvts11"/>
    <w:basedOn w:val="DefaultParagraphFont"/>
    <w:qFormat/>
    <w:rsid w:val="00617106"/>
    <w:rPr/>
  </w:style>
  <w:style w:type="character" w:styleId="rvts23" w:customStyle="1">
    <w:name w:val="rvts23"/>
    <w:qFormat/>
    <w:rsid w:val="00280514"/>
    <w:rPr/>
  </w:style>
  <w:style w:type="character" w:styleId="Style11" w:customStyle="1">
    <w:name w:val="Основной текст Знак"/>
    <w:basedOn w:val="DefaultParagraphFont"/>
    <w:qFormat/>
    <w:rsid w:val="000333ef"/>
    <w:rPr>
      <w:sz w:val="28"/>
      <w:lang w:eastAsia="ru-RU"/>
    </w:rPr>
  </w:style>
  <w:style w:type="character" w:styleId="3" w:customStyle="1">
    <w:name w:val="Основной текст с отступом 3 Знак"/>
    <w:basedOn w:val="DefaultParagraphFont"/>
    <w:link w:val="BodyTextIndent3"/>
    <w:uiPriority w:val="99"/>
    <w:qFormat/>
    <w:rsid w:val="001f4aca"/>
    <w:rPr>
      <w:rFonts w:eastAsia="Calibri" w:cs="Times New Roman"/>
      <w:sz w:val="16"/>
      <w:szCs w:val="16"/>
      <w:lang w:eastAsia="en-US"/>
    </w:rPr>
  </w:style>
  <w:style w:type="character" w:styleId="Style12" w:customStyle="1">
    <w:name w:val="Верхний колонтитул Знак"/>
    <w:basedOn w:val="DefaultParagraphFont"/>
    <w:uiPriority w:val="99"/>
    <w:qFormat/>
    <w:rsid w:val="00125745"/>
    <w:rPr>
      <w:sz w:val="28"/>
      <w:lang w:eastAsia="ru-RU"/>
    </w:rPr>
  </w:style>
  <w:style w:type="character" w:styleId="FontStyle11" w:customStyle="1">
    <w:name w:val="Font Style11"/>
    <w:basedOn w:val="DefaultParagraphFont"/>
    <w:uiPriority w:val="99"/>
    <w:qFormat/>
    <w:rsid w:val="00d02835"/>
    <w:rPr>
      <w:rFonts w:ascii="Times New Roman" w:hAnsi="Times New Roman" w:cs="Times New Roman"/>
      <w:sz w:val="26"/>
      <w:szCs w:val="26"/>
    </w:rPr>
  </w:style>
  <w:style w:type="character" w:styleId="rvts0" w:customStyle="1">
    <w:name w:val="rvts0"/>
    <w:qFormat/>
    <w:rsid w:val="00715fe2"/>
    <w:rPr>
      <w:rFonts w:cs="Times New Roman"/>
    </w:rPr>
  </w:style>
  <w:style w:type="character" w:styleId="2" w:customStyle="1">
    <w:name w:val="Основной текст с отступом 2 Знак"/>
    <w:basedOn w:val="DefaultParagraphFont"/>
    <w:link w:val="BodyTextIndent2"/>
    <w:uiPriority w:val="99"/>
    <w:semiHidden/>
    <w:qFormat/>
    <w:rsid w:val="004633b1"/>
    <w:rPr>
      <w:sz w:val="28"/>
      <w:lang w:eastAsia="ru-RU"/>
    </w:rPr>
  </w:style>
  <w:style w:type="character" w:styleId="Style13" w:customStyle="1">
    <w:name w:val="Основной текст с отступом Знак"/>
    <w:basedOn w:val="DefaultParagraphFont"/>
    <w:uiPriority w:val="99"/>
    <w:semiHidden/>
    <w:qFormat/>
    <w:rsid w:val="004633b1"/>
    <w:rPr>
      <w:sz w:val="28"/>
      <w:lang w:eastAsia="ru-RU"/>
    </w:rPr>
  </w:style>
  <w:style w:type="character" w:styleId="csd2c743de" w:customStyle="1">
    <w:name w:val="csd2c743de"/>
    <w:basedOn w:val="DefaultParagraphFont"/>
    <w:qFormat/>
    <w:rsid w:val="00823fc0"/>
    <w:rPr/>
  </w:style>
  <w:style w:type="character" w:styleId="31" w:customStyle="1">
    <w:name w:val="Заголовок 3 Знак"/>
    <w:basedOn w:val="DefaultParagraphFont"/>
    <w:qFormat/>
    <w:rsid w:val="00a60cab"/>
    <w:rPr>
      <w:b/>
      <w:i/>
      <w:sz w:val="28"/>
      <w:lang w:eastAsia="ru-RU"/>
    </w:rPr>
  </w:style>
  <w:style w:type="character" w:styleId="user">
    <w:name w:val="Символ нумерації (user)"/>
    <w:qFormat/>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1"/>
    <w:unhideWhenUsed/>
    <w:rsid w:val="000333ef"/>
    <w:pPr>
      <w:spacing w:lineRule="auto" w:line="240"/>
      <w:ind w:hanging="0"/>
      <w:jc w:val="center"/>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Покажчик"/>
    <w:basedOn w:val="Normal"/>
    <w:qFormat/>
    <w:pPr>
      <w:suppressLineNumbers/>
    </w:pPr>
    <w:rPr>
      <w:rFonts w:cs="Arial"/>
    </w:rPr>
  </w:style>
  <w:style w:type="paragraph" w:styleId="user1">
    <w:name w:val="Заголовок (user)"/>
    <w:basedOn w:val="Normal"/>
    <w:next w:val="BodyText"/>
    <w:qFormat/>
    <w:pPr>
      <w:keepNext w:val="true"/>
      <w:spacing w:before="240" w:after="120"/>
    </w:pPr>
    <w:rPr>
      <w:rFonts w:ascii="Liberation Sans" w:hAnsi="Liberation Sans" w:eastAsia="Microsoft YaHei" w:cs="Lucida Sans"/>
      <w:sz w:val="28"/>
      <w:szCs w:val="28"/>
    </w:rPr>
  </w:style>
  <w:style w:type="paragraph" w:styleId="user2">
    <w:name w:val="Покажчик (user)"/>
    <w:basedOn w:val="Normal"/>
    <w:qFormat/>
    <w:pPr>
      <w:suppressLineNumbers/>
    </w:pPr>
    <w:rPr>
      <w:rFonts w:cs="Lucida Sans"/>
    </w:rPr>
  </w:style>
  <w:style w:type="paragraph" w:styleId="Style16">
    <w:name w:val="Верхній і нижній колонтитули"/>
    <w:basedOn w:val="Normal"/>
    <w:qFormat/>
    <w:pPr/>
    <w:rPr/>
  </w:style>
  <w:style w:type="paragraph" w:styleId="user3">
    <w:name w:val="Верхній і нижній колонтитули (user)"/>
    <w:basedOn w:val="Normal"/>
    <w:qFormat/>
    <w:pPr/>
    <w:rPr/>
  </w:style>
  <w:style w:type="paragraph" w:styleId="Footer">
    <w:name w:val="footer"/>
    <w:basedOn w:val="Normal"/>
    <w:rsid w:val="00a0742f"/>
    <w:pPr>
      <w:tabs>
        <w:tab w:val="clear" w:pos="720"/>
        <w:tab w:val="center" w:pos="4153" w:leader="none"/>
        <w:tab w:val="right" w:pos="8306" w:leader="none"/>
      </w:tabs>
    </w:pPr>
    <w:rPr/>
  </w:style>
  <w:style w:type="paragraph" w:styleId="Style17" w:customStyle="1">
    <w:name w:val="Нормальний текст"/>
    <w:basedOn w:val="Normal"/>
    <w:qFormat/>
    <w:rsid w:val="00a0742f"/>
    <w:pPr>
      <w:spacing w:before="120" w:after="0"/>
      <w:ind w:firstLine="567"/>
    </w:pPr>
    <w:rPr/>
  </w:style>
  <w:style w:type="paragraph" w:styleId="Style18" w:customStyle="1">
    <w:name w:val="Шапка документу"/>
    <w:basedOn w:val="Normal"/>
    <w:qFormat/>
    <w:rsid w:val="00a0742f"/>
    <w:pPr>
      <w:keepNext w:val="true"/>
      <w:keepLines/>
      <w:spacing w:before="0" w:after="240"/>
      <w:ind w:left="4536"/>
      <w:jc w:val="center"/>
    </w:pPr>
    <w:rPr/>
  </w:style>
  <w:style w:type="paragraph" w:styleId="Header">
    <w:name w:val="header"/>
    <w:basedOn w:val="Normal"/>
    <w:link w:val="Style12"/>
    <w:uiPriority w:val="99"/>
    <w:rsid w:val="00a0742f"/>
    <w:pPr>
      <w:tabs>
        <w:tab w:val="clear" w:pos="720"/>
        <w:tab w:val="center" w:pos="4153" w:leader="none"/>
        <w:tab w:val="right" w:pos="8306" w:leader="none"/>
      </w:tabs>
    </w:pPr>
    <w:rPr/>
  </w:style>
  <w:style w:type="paragraph" w:styleId="1" w:customStyle="1">
    <w:name w:val="Підпис1"/>
    <w:basedOn w:val="Normal"/>
    <w:qFormat/>
    <w:rsid w:val="00a0742f"/>
    <w:pPr>
      <w:keepLines/>
      <w:tabs>
        <w:tab w:val="clear" w:pos="720"/>
        <w:tab w:val="center" w:pos="2268" w:leader="none"/>
        <w:tab w:val="left" w:pos="6804" w:leader="none"/>
      </w:tabs>
      <w:spacing w:before="360" w:after="0"/>
    </w:pPr>
    <w:rPr>
      <w:b/>
      <w:position w:val="-48"/>
    </w:rPr>
  </w:style>
  <w:style w:type="paragraph" w:styleId="Style19" w:customStyle="1">
    <w:name w:val="Глава документу"/>
    <w:basedOn w:val="Normal"/>
    <w:next w:val="Normal"/>
    <w:qFormat/>
    <w:rsid w:val="00a0742f"/>
    <w:pPr>
      <w:keepNext w:val="true"/>
      <w:keepLines/>
      <w:spacing w:before="120" w:after="120"/>
      <w:jc w:val="center"/>
    </w:pPr>
    <w:rPr/>
  </w:style>
  <w:style w:type="paragraph" w:styleId="Style20" w:customStyle="1">
    <w:name w:val="Герб"/>
    <w:basedOn w:val="Normal"/>
    <w:qFormat/>
    <w:rsid w:val="00a0742f"/>
    <w:pPr>
      <w:keepNext w:val="true"/>
      <w:keepLines/>
      <w:jc w:val="center"/>
    </w:pPr>
    <w:rPr>
      <w:sz w:val="144"/>
      <w:lang w:val="en-US"/>
    </w:rPr>
  </w:style>
  <w:style w:type="paragraph" w:styleId="Style21" w:customStyle="1">
    <w:name w:val="Установа"/>
    <w:basedOn w:val="Normal"/>
    <w:qFormat/>
    <w:rsid w:val="00a0742f"/>
    <w:pPr>
      <w:keepNext w:val="true"/>
      <w:keepLines/>
      <w:spacing w:before="120" w:after="0"/>
      <w:jc w:val="center"/>
    </w:pPr>
    <w:rPr>
      <w:b/>
      <w:sz w:val="40"/>
    </w:rPr>
  </w:style>
  <w:style w:type="paragraph" w:styleId="Style22" w:customStyle="1">
    <w:name w:val="Вид документа"/>
    <w:basedOn w:val="Style21"/>
    <w:next w:val="Normal"/>
    <w:qFormat/>
    <w:rsid w:val="00a0742f"/>
    <w:pPr>
      <w:spacing w:before="360" w:after="240"/>
    </w:pPr>
    <w:rPr>
      <w:spacing w:val="20"/>
      <w:sz w:val="26"/>
    </w:rPr>
  </w:style>
  <w:style w:type="paragraph" w:styleId="Style23" w:customStyle="1">
    <w:name w:val="Час та місце"/>
    <w:basedOn w:val="Normal"/>
    <w:qFormat/>
    <w:rsid w:val="00a0742f"/>
    <w:pPr>
      <w:keepNext w:val="true"/>
      <w:keepLines/>
      <w:spacing w:before="120" w:after="240"/>
      <w:jc w:val="center"/>
    </w:pPr>
    <w:rPr/>
  </w:style>
  <w:style w:type="paragraph" w:styleId="Style24" w:customStyle="1">
    <w:name w:val="Назва документа"/>
    <w:basedOn w:val="Normal"/>
    <w:next w:val="Style17"/>
    <w:qFormat/>
    <w:rsid w:val="00a0742f"/>
    <w:pPr>
      <w:keepNext w:val="true"/>
      <w:keepLines/>
      <w:spacing w:before="240" w:after="240"/>
      <w:jc w:val="center"/>
    </w:pPr>
    <w:rPr>
      <w:b/>
    </w:rPr>
  </w:style>
  <w:style w:type="paragraph" w:styleId="NormalText" w:customStyle="1">
    <w:name w:val="Normal Text"/>
    <w:basedOn w:val="Normal"/>
    <w:qFormat/>
    <w:rsid w:val="00a0742f"/>
    <w:pPr>
      <w:ind w:firstLine="567"/>
    </w:pPr>
    <w:rPr/>
  </w:style>
  <w:style w:type="paragraph" w:styleId="ShapkaDocumentu" w:customStyle="1">
    <w:name w:val="Shapka Documentu"/>
    <w:basedOn w:val="NormalText"/>
    <w:qFormat/>
    <w:rsid w:val="00a0742f"/>
    <w:pPr>
      <w:keepNext w:val="true"/>
      <w:keepLines/>
      <w:spacing w:before="0" w:after="240"/>
      <w:ind w:hanging="0" w:left="3969"/>
      <w:jc w:val="center"/>
    </w:pPr>
    <w:rPr/>
  </w:style>
  <w:style w:type="paragraph" w:styleId="Default" w:customStyle="1">
    <w:name w:val="Default"/>
    <w:qFormat/>
    <w:rsid w:val="00131b14"/>
    <w:pPr>
      <w:widowControl/>
      <w:suppressAutoHyphens w:val="true"/>
      <w:bidi w:val="0"/>
      <w:spacing w:before="0" w:after="0"/>
      <w:jc w:val="left"/>
    </w:pPr>
    <w:rPr>
      <w:rFonts w:ascii="Times New Roman" w:hAnsi="Times New Roman" w:eastAsia="Times New Roman" w:cs="Times New Roman"/>
      <w:color w:val="000000"/>
      <w:kern w:val="0"/>
      <w:sz w:val="24"/>
      <w:szCs w:val="24"/>
      <w:lang w:val="uk-UA" w:eastAsia="uk-UA" w:bidi="ar-SA"/>
    </w:rPr>
  </w:style>
  <w:style w:type="paragraph" w:styleId="BalloonText">
    <w:name w:val="Balloon Text"/>
    <w:basedOn w:val="Normal"/>
    <w:link w:val="Style10"/>
    <w:uiPriority w:val="99"/>
    <w:semiHidden/>
    <w:unhideWhenUsed/>
    <w:qFormat/>
    <w:rsid w:val="00c6272e"/>
    <w:pPr>
      <w:spacing w:lineRule="auto" w:line="240"/>
    </w:pPr>
    <w:rPr>
      <w:rFonts w:ascii="Segoe UI" w:hAnsi="Segoe UI" w:cs="Segoe UI"/>
      <w:sz w:val="18"/>
      <w:szCs w:val="18"/>
    </w:rPr>
  </w:style>
  <w:style w:type="paragraph" w:styleId="rvps2" w:customStyle="1">
    <w:name w:val="rvps2"/>
    <w:basedOn w:val="Normal"/>
    <w:qFormat/>
    <w:rsid w:val="00617106"/>
    <w:pPr>
      <w:spacing w:lineRule="auto" w:line="240" w:beforeAutospacing="1" w:afterAutospacing="1"/>
      <w:ind w:hanging="0"/>
      <w:jc w:val="left"/>
    </w:pPr>
    <w:rPr>
      <w:sz w:val="24"/>
      <w:szCs w:val="24"/>
    </w:rPr>
  </w:style>
  <w:style w:type="paragraph" w:styleId="NormalWeb">
    <w:name w:val="Normal (Web)"/>
    <w:basedOn w:val="Normal"/>
    <w:qFormat/>
    <w:rsid w:val="00d44706"/>
    <w:pPr>
      <w:spacing w:lineRule="auto" w:line="240" w:beforeAutospacing="1" w:afterAutospacing="1"/>
      <w:ind w:hanging="0"/>
      <w:jc w:val="left"/>
    </w:pPr>
    <w:rPr>
      <w:sz w:val="24"/>
      <w:szCs w:val="24"/>
      <w:lang w:val="ru-RU"/>
    </w:rPr>
  </w:style>
  <w:style w:type="paragraph" w:styleId="BodyTextIndent3">
    <w:name w:val="Body Text Indent 3"/>
    <w:basedOn w:val="Normal"/>
    <w:link w:val="3"/>
    <w:uiPriority w:val="99"/>
    <w:unhideWhenUsed/>
    <w:qFormat/>
    <w:rsid w:val="001f4aca"/>
    <w:pPr>
      <w:spacing w:before="0" w:after="120"/>
      <w:ind w:hanging="0" w:left="283"/>
      <w:jc w:val="left"/>
    </w:pPr>
    <w:rPr>
      <w:rFonts w:eastAsia="Calibri"/>
      <w:sz w:val="16"/>
      <w:szCs w:val="16"/>
      <w:lang w:eastAsia="en-US"/>
    </w:rPr>
  </w:style>
  <w:style w:type="paragraph" w:styleId="rvps12" w:customStyle="1">
    <w:name w:val="rvps12"/>
    <w:basedOn w:val="Normal"/>
    <w:qFormat/>
    <w:rsid w:val="00397565"/>
    <w:pPr>
      <w:spacing w:lineRule="auto" w:line="240" w:beforeAutospacing="1" w:afterAutospacing="1"/>
      <w:ind w:hanging="0"/>
      <w:jc w:val="left"/>
    </w:pPr>
    <w:rPr>
      <w:sz w:val="24"/>
      <w:szCs w:val="24"/>
      <w:lang w:val="ru-RU"/>
    </w:rPr>
  </w:style>
  <w:style w:type="paragraph" w:styleId="ListParagraph">
    <w:name w:val="List Paragraph"/>
    <w:basedOn w:val="Normal"/>
    <w:uiPriority w:val="34"/>
    <w:qFormat/>
    <w:rsid w:val="00df07ff"/>
    <w:pPr>
      <w:spacing w:before="0" w:after="0"/>
      <w:ind w:left="720"/>
      <w:contextualSpacing/>
    </w:pPr>
    <w:rPr/>
  </w:style>
  <w:style w:type="paragraph" w:styleId="311" w:customStyle="1">
    <w:name w:val="Основной текст (3)1"/>
    <w:basedOn w:val="Normal"/>
    <w:qFormat/>
    <w:rsid w:val="00f2497e"/>
    <w:pPr>
      <w:widowControl w:val="false"/>
      <w:shd w:val="clear" w:color="auto" w:fill="FFFFFF"/>
      <w:spacing w:lineRule="atLeast" w:line="240" w:before="0" w:after="600"/>
      <w:ind w:hanging="0"/>
      <w:jc w:val="left"/>
    </w:pPr>
    <w:rPr>
      <w:rFonts w:ascii="Courier New" w:hAnsi="Courier New"/>
      <w:spacing w:val="2"/>
      <w:sz w:val="17"/>
    </w:rPr>
  </w:style>
  <w:style w:type="paragraph" w:styleId="BodyTextIndent2">
    <w:name w:val="Body Text Indent 2"/>
    <w:basedOn w:val="Normal"/>
    <w:link w:val="2"/>
    <w:uiPriority w:val="99"/>
    <w:semiHidden/>
    <w:unhideWhenUsed/>
    <w:qFormat/>
    <w:rsid w:val="004633b1"/>
    <w:pPr>
      <w:spacing w:lineRule="auto" w:line="480" w:before="0" w:after="120"/>
      <w:ind w:left="283"/>
    </w:pPr>
    <w:rPr/>
  </w:style>
  <w:style w:type="paragraph" w:styleId="BodyTextIndent">
    <w:name w:val="Body Text Indent"/>
    <w:basedOn w:val="Normal"/>
    <w:link w:val="Style13"/>
    <w:uiPriority w:val="99"/>
    <w:semiHidden/>
    <w:unhideWhenUsed/>
    <w:rsid w:val="004633b1"/>
    <w:pPr>
      <w:spacing w:before="0" w:after="120"/>
      <w:ind w:left="283"/>
    </w:pPr>
    <w:rPr/>
  </w:style>
  <w:style w:type="paragraph" w:styleId="csd270a203" w:customStyle="1">
    <w:name w:val="csd270a203"/>
    <w:basedOn w:val="Normal"/>
    <w:qFormat/>
    <w:rsid w:val="00823fc0"/>
    <w:pPr>
      <w:spacing w:lineRule="auto" w:line="240" w:beforeAutospacing="1" w:afterAutospacing="1"/>
      <w:ind w:hanging="0"/>
      <w:jc w:val="left"/>
    </w:pPr>
    <w:rPr>
      <w:sz w:val="24"/>
      <w:szCs w:val="24"/>
      <w:lang w:eastAsia="uk-UA"/>
    </w:rPr>
  </w:style>
  <w:style w:type="paragraph" w:styleId="cs66e64e55" w:customStyle="1">
    <w:name w:val="cs66e64e55"/>
    <w:basedOn w:val="Normal"/>
    <w:qFormat/>
    <w:rsid w:val="00823fc0"/>
    <w:pPr>
      <w:spacing w:lineRule="auto" w:line="240" w:beforeAutospacing="1" w:afterAutospacing="1"/>
      <w:ind w:hanging="0"/>
      <w:jc w:val="left"/>
    </w:pPr>
    <w:rPr>
      <w:sz w:val="24"/>
      <w:szCs w:val="24"/>
      <w:lang w:eastAsia="uk-UA"/>
    </w:rPr>
  </w:style>
  <w:style w:type="paragraph" w:styleId="Style25">
    <w:name w:val="Вміст рамки"/>
    <w:basedOn w:val="Normal"/>
    <w:qFormat/>
    <w:pPr/>
    <w:rPr/>
  </w:style>
  <w:style w:type="paragraph" w:styleId="user4">
    <w:name w:val="Вміст рамки (user)"/>
    <w:basedOn w:val="Normal"/>
    <w:qFormat/>
    <w:pPr/>
    <w:rPr/>
  </w:style>
  <w:style w:type="numbering" w:styleId="Style26" w:default="1">
    <w:name w:val="Без маркерів"/>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
    <w:name w:val="Table Grid"/>
    <w:basedOn w:val="a1"/>
    <w:uiPriority w:val="59"/>
    <w:rsid w:val="00131b1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ED4278-0FA1-4187-8EED-959964555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Application>LibreOffice/26.2.0.3$Windows_X86_64 LibreOffice_project/620$Build-3</Application>
  <AppVersion>15.0000</AppVersion>
  <Pages>4</Pages>
  <Words>745</Words>
  <Characters>5009</Characters>
  <CharactersWithSpaces>5671</CharactersWithSpaces>
  <Paragraphs>81</Paragraphs>
  <Company>KMU</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2025-09-01T08:20:00Z</dcterms:created>
  <dc:creator>1-1</dc:creator>
  <dc:description/>
  <dc:language>uk-UA</dc:language>
  <cp:lastModifiedBy/>
  <cp:lastPrinted>2020-07-03T07:18:00Z</cp:lastPrinted>
  <dcterms:modified xsi:type="dcterms:W3CDTF">2026-08-17T14:32:33Z</dcterms:modified>
  <cp:revision>23</cp:revision>
  <dc:subject/>
  <dc:title>£</dc:title>
</cp:coreProperties>
</file>

<file path=docProps/custom.xml><?xml version="1.0" encoding="utf-8"?>
<Properties xmlns="http://schemas.openxmlformats.org/officeDocument/2006/custom-properties" xmlns:vt="http://schemas.openxmlformats.org/officeDocument/2006/docPropsVTypes"/>
</file>