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rPr>
        <w:t>Додаток</w:t>
      </w:r>
    </w:p>
    <w:p>
      <w:pPr>
        <w:pStyle w:val="Normal"/>
        <w:ind w:hanging="0" w:left="4819"/>
        <w:jc w:val="left"/>
        <w:rPr>
          <w:bCs/>
        </w:rPr>
      </w:pPr>
      <w:r>
        <w:rPr>
          <w:bCs/>
        </w:rPr>
        <w:t xml:space="preserve">до Наказу </w:t>
      </w:r>
    </w:p>
    <w:p>
      <w:pPr>
        <w:pStyle w:val="Normal"/>
        <w:ind w:hanging="0" w:left="4819"/>
        <w:jc w:val="left"/>
        <w:rPr>
          <w:bCs/>
        </w:rPr>
      </w:pPr>
      <w:r>
        <w:rPr>
          <w:bCs/>
        </w:rPr>
        <w:t xml:space="preserve">Головного управління </w:t>
      </w:r>
    </w:p>
    <w:p>
      <w:pPr>
        <w:pStyle w:val="Normal"/>
        <w:ind w:hanging="0" w:left="4819"/>
        <w:jc w:val="left"/>
        <w:rPr>
          <w:bCs/>
        </w:rPr>
      </w:pPr>
      <w:r>
        <w:rPr>
          <w:bCs/>
        </w:rPr>
        <w:t xml:space="preserve">Пенсійного фонду України в м. Києві </w:t>
      </w:r>
    </w:p>
    <w:p>
      <w:pPr>
        <w:pStyle w:val="Normal"/>
        <w:ind w:hanging="0" w:left="4819"/>
        <w:jc w:val="left"/>
        <w:rPr>
          <w:bCs/>
        </w:rPr>
      </w:pPr>
      <w:r>
        <w:rPr>
          <w:bCs/>
        </w:rPr>
        <w:t>від “17” серпня 2026 року №________</w:t>
      </w:r>
    </w:p>
    <w:p>
      <w:pPr>
        <w:pStyle w:val="Normal"/>
        <w:ind w:hanging="0" w:left="0"/>
        <w:jc w:val="center"/>
        <w:rPr>
          <w:bCs/>
          <w:szCs w:val="24"/>
        </w:rPr>
      </w:pPr>
      <w:r>
        <w:rPr>
          <w:bCs/>
          <w:sz w:val="28"/>
          <w:szCs w:val="24"/>
        </w:rPr>
      </w:r>
    </w:p>
    <w:p>
      <w:pPr>
        <w:pStyle w:val="Normal"/>
        <w:ind w:hanging="0" w:left="0"/>
        <w:jc w:val="center"/>
        <w:rPr>
          <w:bCs/>
          <w:szCs w:val="24"/>
        </w:rPr>
      </w:pPr>
      <w:r>
        <w:rPr>
          <w:bCs/>
          <w:sz w:val="28"/>
          <w:szCs w:val="24"/>
        </w:rPr>
      </w:r>
    </w:p>
    <w:p>
      <w:pPr>
        <w:pStyle w:val="Normal"/>
        <w:ind w:hanging="0" w:left="0"/>
        <w:jc w:val="center"/>
        <w:rPr>
          <w:bCs/>
          <w:szCs w:val="24"/>
        </w:rPr>
      </w:pPr>
      <w:r>
        <w:rPr>
          <w:bCs/>
          <w:sz w:val="28"/>
          <w:szCs w:val="24"/>
        </w:rPr>
        <w:t>Умови</w:t>
      </w:r>
    </w:p>
    <w:p>
      <w:pPr>
        <w:pStyle w:val="Normal"/>
        <w:ind w:hanging="0" w:left="0"/>
        <w:jc w:val="center"/>
        <w:rPr>
          <w:bCs/>
          <w:szCs w:val="24"/>
        </w:rPr>
      </w:pPr>
      <w:r>
        <w:rPr>
          <w:sz w:val="28"/>
          <w:szCs w:val="28"/>
        </w:rPr>
        <w:t>проведення добору</w:t>
      </w:r>
    </w:p>
    <w:p>
      <w:pPr>
        <w:pStyle w:val="Normal"/>
        <w:ind w:hanging="0" w:left="0"/>
        <w:jc w:val="center"/>
        <w:rPr>
          <w:bCs/>
          <w:szCs w:val="24"/>
        </w:rPr>
      </w:pPr>
      <w:r>
        <w:rPr>
          <w:sz w:val="28"/>
          <w:szCs w:val="28"/>
        </w:rPr>
        <w:t xml:space="preserve">на зайняття посад </w:t>
      </w:r>
      <w:r>
        <w:rPr>
          <w:bCs/>
          <w:sz w:val="28"/>
          <w:szCs w:val="28"/>
        </w:rPr>
        <w:t xml:space="preserve">державної служби категорії «Б» - заступника начальника </w:t>
      </w:r>
      <w:r>
        <w:rPr>
          <w:sz w:val="28"/>
          <w:szCs w:val="28"/>
        </w:rPr>
        <w:t>відділу</w:t>
      </w:r>
      <w:r>
        <w:rPr>
          <w:b w:val="false"/>
          <w:i w:val="false"/>
          <w:strike w:val="false"/>
          <w:dstrike w:val="false"/>
          <w:outline w:val="false"/>
          <w:shadow w:val="false"/>
          <w:color w:val="000000"/>
          <w:sz w:val="28"/>
          <w:szCs w:val="28"/>
          <w:u w:val="none"/>
          <w:em w:val="none"/>
        </w:rPr>
        <w:t xml:space="preserve"> контролю за правильністю нарахування субсидій та пільг управління субсидій, пільг та соціальних допомог</w:t>
      </w:r>
    </w:p>
    <w:p>
      <w:pPr>
        <w:pStyle w:val="Normal"/>
        <w:ind w:hanging="0" w:left="0"/>
        <w:jc w:val="center"/>
        <w:rPr>
          <w:bCs/>
          <w:szCs w:val="24"/>
        </w:rPr>
      </w:pPr>
      <w:r>
        <w:rPr/>
        <w:t>(пр-т Берестейський, 50)</w:t>
      </w:r>
    </w:p>
    <w:p>
      <w:pPr>
        <w:pStyle w:val="Normal"/>
        <w:ind w:hanging="0"/>
        <w:jc w:val="center"/>
        <w:rPr>
          <w:szCs w:val="28"/>
        </w:rPr>
      </w:pPr>
      <w:r>
        <w:rPr>
          <w:szCs w:val="28"/>
        </w:rPr>
      </w:r>
    </w:p>
    <w:tbl>
      <w:tblPr>
        <w:tblW w:w="9798" w:type="dxa"/>
        <w:jc w:val="left"/>
        <w:tblInd w:w="117" w:type="dxa"/>
        <w:tblLayout w:type="fixed"/>
        <w:tblCellMar>
          <w:top w:w="0" w:type="dxa"/>
          <w:left w:w="108" w:type="dxa"/>
          <w:bottom w:w="0" w:type="dxa"/>
          <w:right w:w="108" w:type="dxa"/>
        </w:tblCellMar>
        <w:tblLook w:val="04a0"/>
      </w:tblPr>
      <w:tblGrid>
        <w:gridCol w:w="549"/>
        <w:gridCol w:w="45"/>
        <w:gridCol w:w="2910"/>
        <w:gridCol w:w="45"/>
        <w:gridCol w:w="6249"/>
      </w:tblGrid>
      <w:tr>
        <w:trPr/>
        <w:tc>
          <w:tcPr>
            <w:tcW w:w="9798"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Cs/>
                <w:szCs w:val="28"/>
              </w:rPr>
            </w:pPr>
            <w:r>
              <w:rPr>
                <w:bCs/>
                <w:szCs w:val="28"/>
              </w:rPr>
              <w:t>Загальні умови</w:t>
            </w:r>
          </w:p>
        </w:tc>
      </w:tr>
      <w:tr>
        <w:trPr/>
        <w:tc>
          <w:tcPr>
            <w:tcW w:w="350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94" w:type="dxa"/>
            <w:gridSpan w:val="2"/>
            <w:tcBorders>
              <w:top w:val="single" w:sz="4" w:space="0" w:color="000000"/>
              <w:left w:val="single" w:sz="4" w:space="0" w:color="000000"/>
              <w:bottom w:val="single" w:sz="4" w:space="0" w:color="000000"/>
              <w:right w:val="single" w:sz="4" w:space="0" w:color="000000"/>
            </w:tcBorders>
          </w:tcPr>
          <w:p>
            <w:pPr>
              <w:pStyle w:val="Normal"/>
              <w:ind w:hanging="0"/>
              <w:rPr>
                <w:sz w:val="28"/>
                <w:szCs w:val="28"/>
              </w:rPr>
            </w:pPr>
            <w:r>
              <w:rPr>
                <w:sz w:val="28"/>
                <w:szCs w:val="28"/>
                <w:lang w:val="en-US"/>
              </w:rPr>
              <w:t>1</w:t>
            </w:r>
            <w:r>
              <w:rPr>
                <w:sz w:val="28"/>
                <w:szCs w:val="28"/>
              </w:rPr>
              <w:t xml:space="preserve">. </w:t>
            </w:r>
            <w:r>
              <w:rPr>
                <w:b w:val="false"/>
                <w:i w:val="false"/>
                <w:strike w:val="false"/>
                <w:dstrike w:val="false"/>
                <w:outline w:val="false"/>
                <w:shadow w:val="false"/>
                <w:color w:val="000000"/>
                <w:sz w:val="28"/>
                <w:szCs w:val="28"/>
                <w:u w:val="none"/>
                <w:em w:val="none"/>
              </w:rPr>
              <w:t>Здійснення перевірки правильності прийнятих рішень щодо призначення, перерахунку (відмови у призначенні, перерахунку) субсидій, пільг та компенсацій. Проведення правової оцінки документів, на підставі яких прийнято рішення про призначення, перерахунок (відмову у призначенні, перерахунку)  субсидій, пільг та компенсацій.</w:t>
            </w:r>
          </w:p>
          <w:p>
            <w:pPr>
              <w:pStyle w:val="Normal"/>
              <w:ind w:hanging="0"/>
              <w:rPr>
                <w:sz w:val="28"/>
                <w:szCs w:val="28"/>
              </w:rPr>
            </w:pPr>
            <w:r>
              <w:rPr>
                <w:sz w:val="28"/>
                <w:szCs w:val="28"/>
              </w:rPr>
              <w:t xml:space="preserve">2. </w:t>
            </w:r>
            <w:r>
              <w:rPr>
                <w:b w:val="false"/>
                <w:i w:val="false"/>
                <w:strike w:val="false"/>
                <w:dstrike w:val="false"/>
                <w:outline w:val="false"/>
                <w:shadow w:val="false"/>
                <w:color w:val="000000"/>
                <w:sz w:val="28"/>
                <w:szCs w:val="28"/>
                <w:u w:val="none"/>
                <w:em w:val="none"/>
                <w:lang w:val="uk-UA"/>
              </w:rPr>
              <w:t>З</w:t>
            </w:r>
            <w:r>
              <w:rPr>
                <w:b w:val="false"/>
                <w:i w:val="false"/>
                <w:strike w:val="false"/>
                <w:dstrike w:val="false"/>
                <w:outline w:val="false"/>
                <w:shadow w:val="false"/>
                <w:color w:val="000000"/>
                <w:sz w:val="28"/>
                <w:szCs w:val="28"/>
                <w:u w:val="none"/>
                <w:em w:val="none"/>
              </w:rPr>
              <w:t>дійснення перевірки за правильністю та своєчасністю виконання судових рішень щодо надання субсидій, пільг та компенсацій. Здійснення контролю за дотриманням термінів щодо нарахування (проведення перерахунків), відмови в нарахуванні (проведенні перерахунків) субсидій, пільг та компенсацій, які визначені чинним законодавством.</w:t>
            </w:r>
          </w:p>
          <w:p>
            <w:pPr>
              <w:pStyle w:val="Normal"/>
              <w:ind w:hanging="0"/>
              <w:rPr>
                <w:sz w:val="28"/>
                <w:szCs w:val="28"/>
              </w:rPr>
            </w:pPr>
            <w:r>
              <w:rPr>
                <w:sz w:val="28"/>
                <w:szCs w:val="28"/>
              </w:rPr>
              <w:t xml:space="preserve">3. </w:t>
            </w:r>
            <w:r>
              <w:rPr>
                <w:b w:val="false"/>
                <w:i w:val="false"/>
                <w:strike w:val="false"/>
                <w:dstrike w:val="false"/>
                <w:outline w:val="false"/>
                <w:shadow w:val="false"/>
                <w:color w:val="000000"/>
                <w:sz w:val="28"/>
                <w:szCs w:val="28"/>
                <w:u w:val="none"/>
                <w:em w:val="none"/>
                <w:lang w:val="uk-UA"/>
              </w:rPr>
              <w:t>Підготовка інформації та матеріалів для надання відповідей на звернення, заяви та скарги громадян, підприємств та організацій, запитів та звернень народних депутатів України, запитів на публічну інформацію, адвокатські запити; надання роз’яснень з питань, що належать до компетенції відділу. Виявлення та усунення причин, що призводять до подання громадянами скарг.</w:t>
            </w:r>
          </w:p>
          <w:p>
            <w:pPr>
              <w:pStyle w:val="Normal"/>
              <w:ind w:hanging="0"/>
              <w:rPr>
                <w:sz w:val="28"/>
                <w:szCs w:val="28"/>
              </w:rPr>
            </w:pPr>
            <w:r>
              <w:rPr>
                <w:sz w:val="28"/>
                <w:szCs w:val="28"/>
              </w:rPr>
              <w:t xml:space="preserve">4. </w:t>
            </w:r>
            <w:r>
              <w:rPr>
                <w:b w:val="false"/>
                <w:i w:val="false"/>
                <w:strike w:val="false"/>
                <w:dstrike w:val="false"/>
                <w:outline w:val="false"/>
                <w:shadow w:val="false"/>
                <w:color w:val="000000"/>
                <w:sz w:val="28"/>
                <w:szCs w:val="28"/>
                <w:u w:val="none"/>
                <w:em w:val="none"/>
                <w:lang w:val="uk-UA"/>
              </w:rPr>
              <w:t>Перевірка правильності опрацювання рекомендацій, наданих Міністерством фінансів України відповідно до Закону України “Про верифікацію та моніторинг державних виплат” щодо проведення додаткової перевірки інформації, що містить невідповідності, по одержувачах субсидій та пільг.</w:t>
            </w:r>
          </w:p>
          <w:p>
            <w:pPr>
              <w:pStyle w:val="Normal"/>
              <w:ind w:hanging="0"/>
              <w:rPr>
                <w:sz w:val="28"/>
                <w:szCs w:val="28"/>
              </w:rPr>
            </w:pPr>
            <w:r>
              <w:rPr>
                <w:sz w:val="28"/>
                <w:szCs w:val="28"/>
              </w:rPr>
              <w:t xml:space="preserve">5. </w:t>
            </w:r>
            <w:r>
              <w:rPr>
                <w:b w:val="false"/>
                <w:i w:val="false"/>
                <w:strike w:val="false"/>
                <w:dstrike w:val="false"/>
                <w:outline w:val="false"/>
                <w:shadow w:val="false"/>
                <w:color w:val="000000"/>
                <w:sz w:val="28"/>
                <w:szCs w:val="28"/>
                <w:u w:val="none"/>
                <w:em w:val="none"/>
                <w:lang w:val="uk-UA"/>
              </w:rPr>
              <w:t>Взаємодія з місцевими органами державної влади, органами місцевого самоврядування, правоохоронними органами, органами суду і юстиції в частині надання субсидій, пільг та компенсацій.</w:t>
            </w:r>
          </w:p>
          <w:p>
            <w:pPr>
              <w:pStyle w:val="Normal"/>
              <w:ind w:hanging="0"/>
              <w:rPr>
                <w:color w:val="000000"/>
                <w:sz w:val="28"/>
                <w:szCs w:val="28"/>
                <w:lang w:val="en-US"/>
              </w:rPr>
            </w:pPr>
            <w:r>
              <w:rPr>
                <w:color w:val="000000"/>
                <w:sz w:val="28"/>
                <w:szCs w:val="28"/>
                <w:lang w:val="en-US"/>
              </w:rPr>
              <w:t xml:space="preserve">6. </w:t>
            </w:r>
            <w:r>
              <w:rPr>
                <w:color w:val="2A2928"/>
                <w:sz w:val="28"/>
                <w:szCs w:val="28"/>
                <w:lang w:val="uk-UA"/>
              </w:rPr>
              <w:t>Забезпечення захисту персональних даних, що стосуються осіб, які отримують субсидії та пільги.</w:t>
            </w:r>
          </w:p>
          <w:p>
            <w:pPr>
              <w:pStyle w:val="Normal"/>
              <w:ind w:hanging="0"/>
              <w:rPr>
                <w:color w:val="000000"/>
                <w:sz w:val="28"/>
                <w:szCs w:val="28"/>
                <w:lang w:val="uk-UA"/>
              </w:rPr>
            </w:pPr>
            <w:r>
              <w:rPr>
                <w:color w:val="000000"/>
                <w:sz w:val="28"/>
                <w:szCs w:val="28"/>
                <w:lang w:val="uk-UA"/>
              </w:rPr>
              <w:t xml:space="preserve">7. </w:t>
            </w:r>
            <w:r>
              <w:rPr>
                <w:color w:val="000000"/>
                <w:sz w:val="28"/>
                <w:szCs w:val="28"/>
                <w:lang w:val="uk-UA" w:eastAsia="uk-UA"/>
              </w:rPr>
              <w:t>Забезпечення контролю за виконанням</w:t>
            </w:r>
            <w:r>
              <w:rPr>
                <w:color w:val="2A2928"/>
                <w:sz w:val="28"/>
                <w:szCs w:val="28"/>
                <w:lang w:val="uk-UA" w:eastAsia="uk-UA"/>
              </w:rPr>
              <w:t xml:space="preserve"> контрольних документів та за організацію діловодства.</w:t>
            </w:r>
          </w:p>
          <w:p>
            <w:pPr>
              <w:pStyle w:val="Normal"/>
              <w:ind w:hanging="0"/>
              <w:rPr>
                <w:color w:val="000000"/>
                <w:sz w:val="28"/>
                <w:szCs w:val="28"/>
                <w:lang w:val="uk-UA" w:eastAsia="uk-UA"/>
              </w:rPr>
            </w:pPr>
            <w:r>
              <w:rPr>
                <w:color w:val="000000"/>
                <w:sz w:val="28"/>
                <w:szCs w:val="28"/>
                <w:lang w:val="uk-UA" w:eastAsia="uk-UA"/>
              </w:rPr>
              <w:t>8. Здійснення перерахунків житлових субсидій, компенсації витрат що пов’язані з безоплатним тимчасовим розміщенням (перебуванням) внутрішньо переміщених осіб, субсидії на оплату вартості найму (оренди) житла та компенсацію частини податку на доходи фізичних осіб або єдиного податку та військового збору наймодавцю в межах установленого строку їх призначення без звернення громадян та за особистим зверненням одержувача.</w:t>
            </w:r>
          </w:p>
          <w:p>
            <w:pPr>
              <w:pStyle w:val="Normal"/>
              <w:ind w:hanging="0"/>
              <w:rPr>
                <w:color w:val="000000"/>
                <w:sz w:val="28"/>
                <w:szCs w:val="28"/>
                <w:lang w:val="uk-UA" w:eastAsia="uk-UA"/>
              </w:rPr>
            </w:pPr>
            <w:r>
              <w:rPr>
                <w:color w:val="000000"/>
                <w:sz w:val="28"/>
                <w:szCs w:val="28"/>
                <w:lang w:val="uk-UA" w:eastAsia="uk-UA"/>
              </w:rPr>
              <w:t>9. Виконання обов’язків  начальника відділу контролю за правильністю нарахування субсидій та пільг у разі його відсутності.</w:t>
            </w:r>
          </w:p>
          <w:p>
            <w:pPr>
              <w:pStyle w:val="Normal"/>
              <w:ind w:hanging="0"/>
              <w:rPr>
                <w:color w:val="000000"/>
                <w:sz w:val="28"/>
                <w:szCs w:val="28"/>
                <w:lang w:val="uk-UA"/>
              </w:rPr>
            </w:pPr>
            <w:r>
              <w:rPr>
                <w:color w:val="000000"/>
                <w:sz w:val="28"/>
                <w:szCs w:val="28"/>
                <w:lang w:val="uk-UA"/>
              </w:rPr>
            </w:r>
          </w:p>
        </w:tc>
      </w:tr>
      <w:tr>
        <w:trPr/>
        <w:tc>
          <w:tcPr>
            <w:tcW w:w="350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9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bCs/>
                <w:sz w:val="28"/>
                <w:szCs w:val="28"/>
              </w:rPr>
              <w:t xml:space="preserve">посадовий оклад – 25817 грн. </w:t>
            </w:r>
            <w:r>
              <w:rPr>
                <w:rStyle w:val="csd2c743de"/>
                <w:rFonts w:eastAsia="Times New Roman" w:cs="Times New Roman"/>
                <w:bCs/>
                <w:color w:val="000000"/>
                <w:kern w:val="0"/>
                <w:sz w:val="28"/>
                <w:szCs w:val="28"/>
                <w:lang w:val="uk-UA" w:bidi="ar-SA"/>
              </w:rPr>
              <w:t>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spacing w:lineRule="auto" w:line="240"/>
              <w:ind w:hanging="0"/>
              <w:rPr>
                <w:bCs/>
                <w:szCs w:val="28"/>
              </w:rPr>
            </w:pPr>
            <w:r>
              <w:rPr>
                <w:rStyle w:val="csd2c743de"/>
                <w:rFonts w:eastAsia="Times New Roman" w:cs="Times New Roman"/>
                <w:bCs/>
                <w:color w:val="000000"/>
                <w:kern w:val="0"/>
                <w:sz w:val="28"/>
                <w:szCs w:val="28"/>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0" w:hRule="atLeast"/>
        </w:trPr>
        <w:tc>
          <w:tcPr>
            <w:tcW w:w="350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94" w:type="dxa"/>
            <w:gridSpan w:val="2"/>
            <w:tcBorders>
              <w:top w:val="single" w:sz="4" w:space="0" w:color="000000"/>
              <w:left w:val="single" w:sz="4" w:space="0" w:color="000000"/>
              <w:bottom w:val="single" w:sz="4" w:space="0" w:color="000000"/>
              <w:right w:val="single" w:sz="4" w:space="0" w:color="000000"/>
            </w:tcBorders>
          </w:tcPr>
          <w:p>
            <w:pPr>
              <w:pStyle w:val="Style16"/>
              <w:widowControl/>
              <w:suppressAutoHyphens w:val="true"/>
              <w:spacing w:lineRule="auto" w:line="240" w:before="0" w:after="0"/>
              <w:ind w:hanging="0"/>
              <w:jc w:val="left"/>
              <w:rPr/>
            </w:pPr>
            <w:r>
              <w:rPr>
                <w:rStyle w:val="csd2c743de"/>
                <w:rFonts w:eastAsia="Times New Roman" w:cs="Times New Roman"/>
                <w:bCs/>
                <w:color w:val="000000"/>
                <w:kern w:val="0"/>
                <w:sz w:val="28"/>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661" w:hRule="atLeast"/>
        </w:trPr>
        <w:tc>
          <w:tcPr>
            <w:tcW w:w="9798" w:type="dxa"/>
            <w:gridSpan w:val="5"/>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rPr>
                <w:b/>
              </w:rPr>
            </w:pPr>
            <w:r>
              <w:rPr>
                <w:b/>
              </w:rPr>
              <w:t>Обов’язковою</w:t>
            </w:r>
            <w:r>
              <w:rPr>
                <w:b/>
                <w:spacing w:val="80"/>
              </w:rPr>
              <w:t xml:space="preserve"> </w:t>
            </w:r>
            <w:r>
              <w:rPr>
                <w:b/>
              </w:rPr>
              <w:t>вимогою</w:t>
            </w:r>
            <w:r>
              <w:rPr>
                <w:b/>
                <w:spacing w:val="80"/>
              </w:rPr>
              <w:t xml:space="preserve"> </w:t>
            </w:r>
            <w:r>
              <w:rPr>
                <w:b/>
              </w:rPr>
              <w:t>до</w:t>
            </w:r>
            <w:r>
              <w:rPr>
                <w:b/>
                <w:spacing w:val="80"/>
              </w:rPr>
              <w:t xml:space="preserve"> </w:t>
            </w:r>
            <w:r>
              <w:rPr>
                <w:b/>
              </w:rPr>
              <w:t>осіб,</w:t>
            </w:r>
            <w:r>
              <w:rPr>
                <w:b/>
                <w:spacing w:val="80"/>
              </w:rPr>
              <w:t xml:space="preserve"> </w:t>
            </w:r>
            <w:r>
              <w:rPr>
                <w:b/>
              </w:rPr>
              <w:t>які</w:t>
            </w:r>
            <w:r>
              <w:rPr>
                <w:b/>
                <w:spacing w:val="80"/>
              </w:rPr>
              <w:t xml:space="preserve"> </w:t>
            </w:r>
            <w:r>
              <w:rPr>
                <w:b/>
              </w:rPr>
              <w:t>претендують</w:t>
            </w:r>
            <w:r>
              <w:rPr>
                <w:b/>
                <w:spacing w:val="80"/>
              </w:rPr>
              <w:t xml:space="preserve"> </w:t>
            </w:r>
            <w:r>
              <w:rPr>
                <w:b/>
              </w:rPr>
              <w:t>на</w:t>
            </w:r>
            <w:r>
              <w:rPr>
                <w:b/>
                <w:spacing w:val="80"/>
              </w:rPr>
              <w:t xml:space="preserve"> </w:t>
            </w:r>
            <w:r>
              <w:rPr>
                <w:b/>
              </w:rPr>
              <w:t>посаду,</w:t>
            </w:r>
            <w:r>
              <w:rPr>
                <w:b/>
                <w:spacing w:val="80"/>
              </w:rPr>
              <w:t xml:space="preserve"> </w:t>
            </w:r>
            <w:r>
              <w:rPr>
                <w:b/>
              </w:rPr>
              <w:t>є наявність</w:t>
            </w:r>
            <w:r>
              <w:rPr>
                <w:b/>
                <w:spacing w:val="-1"/>
              </w:rPr>
              <w:t xml:space="preserve"> </w:t>
            </w:r>
            <w:r>
              <w:rPr>
                <w:b/>
              </w:rPr>
              <w:t xml:space="preserve">громадянства України та відсутність громадянства інших </w:t>
            </w:r>
            <w:r>
              <w:rPr>
                <w:b/>
                <w:spacing w:val="-2"/>
              </w:rPr>
              <w:t>держав.</w:t>
            </w:r>
          </w:p>
          <w:p>
            <w:pPr>
              <w:pStyle w:val="Default"/>
              <w:jc w:val="center"/>
              <w:rPr>
                <w:b/>
                <w:bCs/>
                <w:color w:val="auto"/>
                <w:sz w:val="28"/>
                <w:szCs w:val="28"/>
                <w:lang w:eastAsia="ru-RU"/>
              </w:rPr>
            </w:pPr>
            <w:r>
              <w:rPr>
                <w:b/>
                <w:bCs/>
                <w:color w:val="auto"/>
                <w:sz w:val="28"/>
                <w:szCs w:val="28"/>
                <w:lang w:eastAsia="ru-RU"/>
              </w:rPr>
            </w:r>
          </w:p>
        </w:tc>
      </w:tr>
      <w:tr>
        <w:trPr/>
        <w:tc>
          <w:tcPr>
            <w:tcW w:w="549"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0"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4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rFonts w:ascii="Times New Roman" w:hAnsi="Times New Roman"/>
                <w:bCs/>
                <w:sz w:val="28"/>
                <w:szCs w:val="28"/>
              </w:rPr>
            </w:pPr>
            <w:r>
              <w:rPr>
                <w:b w:val="false"/>
                <w:bCs/>
                <w:i w:val="false"/>
                <w:caps w:val="false"/>
                <w:smallCaps w:val="false"/>
                <w:color w:val="000000"/>
                <w:spacing w:val="0"/>
                <w:sz w:val="28"/>
                <w:szCs w:val="28"/>
              </w:rPr>
              <w:t>ступінь вищої освіти – не нижче магістра або спеціаліста</w:t>
            </w:r>
          </w:p>
        </w:tc>
      </w:tr>
      <w:tr>
        <w:trPr/>
        <w:tc>
          <w:tcPr>
            <w:tcW w:w="549"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0"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49"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rFonts w:ascii="Times New Roman" w:hAnsi="Times New Roman"/>
                <w:sz w:val="28"/>
                <w:szCs w:val="28"/>
                <w:shd w:fill="FFFFFF" w:val="clear"/>
              </w:rPr>
            </w:pPr>
            <w:r>
              <w:rPr>
                <w:b w:val="false"/>
                <w:i w:val="false"/>
                <w:caps w:val="false"/>
                <w:smallCaps w:val="false"/>
                <w:color w:val="000000"/>
                <w:spacing w:val="0"/>
                <w:sz w:val="28"/>
                <w:szCs w:val="28"/>
                <w:shd w:fill="FFFFFF" w:val="clear"/>
              </w:rPr>
              <w:t>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trPr>
          <w:trHeight w:val="495" w:hRule="atLeast"/>
        </w:trPr>
        <w:tc>
          <w:tcPr>
            <w:tcW w:w="549"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0"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49"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98"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4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49"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94"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55" w:type="dxa"/>
            <w:gridSpan w:val="2"/>
            <w:tcBorders>
              <w:top w:val="single" w:sz="4" w:space="0" w:color="000000"/>
              <w:left w:val="single" w:sz="4" w:space="0" w:color="000000"/>
              <w:bottom w:val="single" w:sz="4" w:space="0" w:color="000000"/>
              <w:right w:val="single" w:sz="4" w:space="0" w:color="000000"/>
            </w:tcBorders>
          </w:tcPr>
          <w:p>
            <w:pPr>
              <w:pStyle w:val="cs2d0a5422"/>
              <w:spacing w:beforeAutospacing="0" w:before="0" w:afterAutospacing="0" w:after="0"/>
              <w:rPr>
                <w:sz w:val="28"/>
                <w:szCs w:val="28"/>
              </w:rPr>
            </w:pPr>
            <w:r>
              <w:rPr>
                <w:rStyle w:val="cs23fb0664"/>
                <w:color w:val="000000"/>
                <w:sz w:val="28"/>
                <w:szCs w:val="28"/>
              </w:rPr>
              <w:t>Якісне виконання поставлених завдань</w:t>
            </w:r>
          </w:p>
        </w:tc>
        <w:tc>
          <w:tcPr>
            <w:tcW w:w="6249" w:type="dxa"/>
            <w:tcBorders>
              <w:top w:val="single" w:sz="4" w:space="0" w:color="000000"/>
              <w:left w:val="single" w:sz="4" w:space="0" w:color="000000"/>
              <w:bottom w:val="single" w:sz="4" w:space="0" w:color="000000"/>
              <w:right w:val="single" w:sz="4" w:space="0" w:color="000000"/>
            </w:tcBorders>
          </w:tcPr>
          <w:p>
            <w:pPr>
              <w:pStyle w:val="cs7115dbcf"/>
              <w:spacing w:beforeAutospacing="0" w:before="0" w:afterAutospacing="0" w:after="0"/>
              <w:ind w:hanging="0" w:right="-80"/>
              <w:jc w:val="both"/>
              <w:rPr>
                <w:sz w:val="28"/>
                <w:szCs w:val="28"/>
              </w:rPr>
            </w:pPr>
            <w:r>
              <w:rPr>
                <w:rStyle w:val="cs23fb0664"/>
                <w:color w:val="000000"/>
                <w:sz w:val="28"/>
                <w:szCs w:val="28"/>
              </w:rPr>
              <w:t>- чітке і точне формулювання мети, цілей і завдань службової діяльності;</w:t>
            </w:r>
          </w:p>
          <w:p>
            <w:pPr>
              <w:pStyle w:val="cs475609cc"/>
              <w:spacing w:beforeAutospacing="0" w:before="0" w:afterAutospacing="0" w:after="0"/>
              <w:ind w:hanging="0" w:right="-80"/>
              <w:jc w:val="both"/>
              <w:rPr>
                <w:sz w:val="28"/>
                <w:szCs w:val="28"/>
              </w:rPr>
            </w:pPr>
            <w:r>
              <w:rPr>
                <w:rStyle w:val="cs23fb0664"/>
                <w:color w:val="000000"/>
                <w:sz w:val="28"/>
                <w:szCs w:val="28"/>
              </w:rPr>
              <w:t>- комплексний підхід до виконання завдань, виявлення ризиків;</w:t>
            </w:r>
          </w:p>
          <w:p>
            <w:pPr>
              <w:pStyle w:val="cs61116938"/>
              <w:spacing w:beforeAutospacing="0" w:before="0" w:afterAutospacing="0" w:after="0"/>
              <w:ind w:hanging="0" w:right="280"/>
              <w:jc w:val="both"/>
              <w:rPr>
                <w:sz w:val="28"/>
                <w:szCs w:val="28"/>
              </w:rPr>
            </w:pPr>
            <w:r>
              <w:rPr>
                <w:rStyle w:val="cs23fb0664"/>
                <w:color w:val="000000"/>
                <w:sz w:val="28"/>
                <w:szCs w:val="28"/>
              </w:rPr>
              <w:t> </w:t>
            </w:r>
            <w:r>
              <w:rPr>
                <w:rStyle w:val="cs23fb0664"/>
                <w:color w:val="000000"/>
                <w:sz w:val="28"/>
                <w:szCs w:val="28"/>
              </w:rPr>
              <w:t>- розуміння змісту завдання і його кінцевих результатів, самостійне визначення можливих шляхів досягнення.</w:t>
            </w:r>
          </w:p>
        </w:tc>
      </w:tr>
      <w:tr>
        <w:trPr>
          <w:trHeight w:val="540" w:hRule="atLeast"/>
        </w:trPr>
        <w:tc>
          <w:tcPr>
            <w:tcW w:w="594"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55" w:type="dxa"/>
            <w:gridSpan w:val="2"/>
            <w:tcBorders>
              <w:top w:val="single" w:sz="4" w:space="0" w:color="000000"/>
              <w:left w:val="single" w:sz="4" w:space="0" w:color="000000"/>
              <w:bottom w:val="single" w:sz="4" w:space="0" w:color="000000"/>
              <w:right w:val="single" w:sz="4" w:space="0" w:color="000000"/>
            </w:tcBorders>
          </w:tcPr>
          <w:p>
            <w:pPr>
              <w:pStyle w:val="cs2654ae3a"/>
              <w:spacing w:beforeAutospacing="0" w:before="0" w:afterAutospacing="0" w:after="0"/>
              <w:rPr>
                <w:sz w:val="28"/>
                <w:szCs w:val="28"/>
              </w:rPr>
            </w:pPr>
            <w:r>
              <w:rPr>
                <w:rStyle w:val="cs23fb0664"/>
                <w:color w:val="000000"/>
                <w:sz w:val="28"/>
                <w:szCs w:val="28"/>
              </w:rPr>
              <w:t>Встановлення цілей, пріоритетів та орієнтирів</w:t>
            </w:r>
          </w:p>
        </w:tc>
        <w:tc>
          <w:tcPr>
            <w:tcW w:w="6249" w:type="dxa"/>
            <w:tcBorders>
              <w:top w:val="single" w:sz="4" w:space="0" w:color="000000"/>
              <w:left w:val="single" w:sz="4" w:space="0" w:color="000000"/>
              <w:bottom w:val="single" w:sz="4" w:space="0" w:color="000000"/>
              <w:right w:val="single" w:sz="4" w:space="0" w:color="000000"/>
            </w:tcBorders>
          </w:tcPr>
          <w:p>
            <w:pPr>
              <w:pStyle w:val="cs61116938"/>
              <w:spacing w:beforeAutospacing="0" w:before="0" w:afterAutospacing="0" w:after="0"/>
              <w:ind w:hanging="0" w:right="280"/>
              <w:jc w:val="both"/>
              <w:rPr>
                <w:sz w:val="28"/>
                <w:szCs w:val="28"/>
              </w:rPr>
            </w:pPr>
            <w:r>
              <w:rPr>
                <w:rStyle w:val="cs23fb0664"/>
                <w:color w:val="000000"/>
                <w:sz w:val="28"/>
                <w:szCs w:val="28"/>
              </w:rPr>
              <w:t>- уміння встановлювати чіткі, реальні, досяжні групові чи індивідуальні цілі та пріоритети;</w:t>
            </w:r>
          </w:p>
          <w:p>
            <w:pPr>
              <w:pStyle w:val="Normal"/>
              <w:spacing w:lineRule="auto" w:line="240"/>
              <w:ind w:hanging="0"/>
              <w:rPr>
                <w:color w:val="000000"/>
                <w:szCs w:val="28"/>
              </w:rPr>
            </w:pPr>
            <w:r>
              <w:rPr>
                <w:rStyle w:val="cs23fb0664"/>
                <w:color w:val="000000"/>
                <w:szCs w:val="28"/>
              </w:rPr>
              <w:t>- уміння визначати орієнтири для досягнення групових чи індивідуальних цілей.</w:t>
            </w:r>
          </w:p>
        </w:tc>
      </w:tr>
      <w:tr>
        <w:trPr>
          <w:trHeight w:val="2203" w:hRule="atLeast"/>
        </w:trPr>
        <w:tc>
          <w:tcPr>
            <w:tcW w:w="594"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55" w:type="dxa"/>
            <w:gridSpan w:val="2"/>
            <w:tcBorders>
              <w:top w:val="single" w:sz="4" w:space="0" w:color="000000"/>
              <w:left w:val="single" w:sz="4" w:space="0" w:color="000000"/>
              <w:bottom w:val="single" w:sz="4" w:space="0" w:color="000000"/>
              <w:right w:val="single" w:sz="4" w:space="0" w:color="000000"/>
            </w:tcBorders>
          </w:tcPr>
          <w:p>
            <w:pPr>
              <w:pStyle w:val="csabb0e626"/>
              <w:spacing w:beforeAutospacing="0" w:before="0" w:afterAutospacing="0" w:after="0"/>
              <w:ind w:hanging="0" w:right="100"/>
              <w:rPr>
                <w:sz w:val="28"/>
                <w:szCs w:val="28"/>
              </w:rPr>
            </w:pPr>
            <w:r>
              <w:rPr>
                <w:rStyle w:val="cs23fb0664"/>
                <w:color w:val="000000"/>
                <w:sz w:val="28"/>
                <w:szCs w:val="28"/>
              </w:rPr>
              <w:t>Відповідальність</w:t>
            </w:r>
          </w:p>
        </w:tc>
        <w:tc>
          <w:tcPr>
            <w:tcW w:w="6249" w:type="dxa"/>
            <w:tcBorders>
              <w:top w:val="single" w:sz="4" w:space="0" w:color="000000"/>
              <w:left w:val="single" w:sz="4" w:space="0" w:color="000000"/>
              <w:bottom w:val="single" w:sz="4" w:space="0" w:color="000000"/>
              <w:right w:val="single" w:sz="4" w:space="0" w:color="000000"/>
            </w:tcBorders>
          </w:tcPr>
          <w:p>
            <w:pPr>
              <w:pStyle w:val="ListParagraph"/>
              <w:numPr>
                <w:ilvl w:val="0"/>
                <w:numId w:val="1"/>
              </w:numPr>
              <w:tabs>
                <w:tab w:val="clear" w:pos="720"/>
                <w:tab w:val="left" w:pos="303" w:leader="none"/>
              </w:tabs>
              <w:spacing w:lineRule="auto" w:line="240"/>
              <w:ind w:hanging="0" w:left="20" w:right="280"/>
              <w:rPr>
                <w:color w:val="000000"/>
                <w:szCs w:val="28"/>
              </w:rPr>
            </w:pPr>
            <w:r>
              <w:rPr>
                <w:rStyle w:val="cs23fb0664"/>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ListParagraph"/>
              <w:numPr>
                <w:ilvl w:val="0"/>
                <w:numId w:val="1"/>
              </w:numPr>
              <w:tabs>
                <w:tab w:val="clear" w:pos="720"/>
                <w:tab w:val="left" w:pos="0" w:leader="none"/>
                <w:tab w:val="left" w:pos="298" w:leader="none"/>
              </w:tabs>
              <w:spacing w:lineRule="auto" w:line="240"/>
              <w:ind w:firstLine="20" w:left="0" w:right="280"/>
              <w:rPr>
                <w:color w:val="000000"/>
                <w:szCs w:val="28"/>
              </w:rPr>
            </w:pPr>
            <w:r>
              <w:rPr>
                <w:rStyle w:val="cs23fb0664"/>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ListParagraph"/>
              <w:numPr>
                <w:ilvl w:val="0"/>
                <w:numId w:val="1"/>
              </w:numPr>
              <w:tabs>
                <w:tab w:val="clear" w:pos="720"/>
                <w:tab w:val="left" w:pos="0" w:leader="none"/>
              </w:tabs>
              <w:spacing w:lineRule="auto" w:line="240"/>
              <w:ind w:firstLine="20" w:left="0" w:right="280"/>
              <w:rPr>
                <w:color w:val="000000"/>
                <w:szCs w:val="28"/>
              </w:rPr>
            </w:pPr>
            <w:r>
              <w:rPr>
                <w:rStyle w:val="cs23fb0664"/>
                <w:color w:val="000000"/>
                <w:szCs w:val="28"/>
              </w:rPr>
              <w:t>здатність брати на себе зобов’язання, чітко їх дотримуватись і виконувати.</w:t>
            </w:r>
          </w:p>
        </w:tc>
      </w:tr>
      <w:tr>
        <w:trPr>
          <w:trHeight w:val="756" w:hRule="atLeast"/>
        </w:trPr>
        <w:tc>
          <w:tcPr>
            <w:tcW w:w="9798"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r>
          </w:p>
          <w:p>
            <w:pPr>
              <w:pStyle w:val="Normal"/>
              <w:spacing w:lineRule="auto" w:line="240"/>
              <w:jc w:val="center"/>
              <w:rPr>
                <w:b/>
                <w:szCs w:val="28"/>
              </w:rPr>
            </w:pPr>
            <w:r>
              <w:rPr>
                <w:b/>
                <w:szCs w:val="28"/>
              </w:rPr>
              <w:t>Професійні знання</w:t>
            </w:r>
          </w:p>
        </w:tc>
      </w:tr>
      <w:tr>
        <w:trPr>
          <w:trHeight w:val="255" w:hRule="atLeast"/>
        </w:trPr>
        <w:tc>
          <w:tcPr>
            <w:tcW w:w="3549" w:type="dxa"/>
            <w:gridSpan w:val="4"/>
            <w:tcBorders>
              <w:top w:val="single" w:sz="4" w:space="0" w:color="000000"/>
              <w:left w:val="single" w:sz="4" w:space="0" w:color="000000"/>
              <w:bottom w:val="single" w:sz="4" w:space="0" w:color="000000"/>
              <w:right w:val="single" w:sz="4" w:space="0" w:color="000000"/>
            </w:tcBorders>
          </w:tcPr>
          <w:p>
            <w:pPr>
              <w:pStyle w:val="Default"/>
              <w:rPr>
                <w:b/>
                <w:bCs/>
                <w:color w:val="auto"/>
                <w:sz w:val="28"/>
                <w:szCs w:val="28"/>
                <w:lang w:eastAsia="ru-RU"/>
              </w:rPr>
            </w:pPr>
            <w:r>
              <w:rPr>
                <w:b/>
                <w:bCs/>
                <w:color w:val="auto"/>
                <w:sz w:val="28"/>
                <w:szCs w:val="28"/>
                <w:lang w:eastAsia="ru-RU"/>
              </w:rPr>
              <w:t>Вимога</w:t>
            </w:r>
          </w:p>
        </w:tc>
        <w:tc>
          <w:tcPr>
            <w:tcW w:w="6249" w:type="dxa"/>
            <w:tcBorders>
              <w:top w:val="single" w:sz="4" w:space="0" w:color="000000"/>
              <w:left w:val="single" w:sz="4" w:space="0" w:color="000000"/>
              <w:bottom w:val="single" w:sz="4" w:space="0" w:color="000000"/>
              <w:right w:val="single" w:sz="4" w:space="0" w:color="000000"/>
            </w:tcBorders>
          </w:tcPr>
          <w:p>
            <w:pPr>
              <w:pStyle w:val="Normal"/>
              <w:spacing w:lineRule="auto" w:line="240"/>
              <w:rPr>
                <w:b/>
                <w:szCs w:val="28"/>
              </w:rPr>
            </w:pPr>
            <w:r>
              <w:rPr>
                <w:b/>
                <w:szCs w:val="28"/>
              </w:rPr>
              <w:t>Компоненти вимоги</w:t>
            </w:r>
          </w:p>
        </w:tc>
      </w:tr>
      <w:tr>
        <w:trPr>
          <w:trHeight w:val="1800" w:hRule="atLeast"/>
        </w:trPr>
        <w:tc>
          <w:tcPr>
            <w:tcW w:w="549"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0"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49" w:type="dxa"/>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Знання:</w:t>
            </w:r>
          </w:p>
          <w:p>
            <w:pPr>
              <w:pStyle w:val="Normal"/>
              <w:ind w:hanging="0"/>
              <w:rPr>
                <w:szCs w:val="28"/>
              </w:rPr>
            </w:pPr>
            <w:r>
              <w:rPr>
                <w:szCs w:val="28"/>
              </w:rPr>
              <w:t>- Конституції України;</w:t>
            </w:r>
          </w:p>
          <w:p>
            <w:pPr>
              <w:pStyle w:val="Normal"/>
              <w:ind w:hanging="0"/>
              <w:rPr>
                <w:szCs w:val="28"/>
              </w:rPr>
            </w:pPr>
            <w:r>
              <w:rPr>
                <w:szCs w:val="28"/>
              </w:rPr>
              <w:t>- Закону України «Про запобігання корупції»;</w:t>
            </w:r>
          </w:p>
          <w:p>
            <w:pPr>
              <w:pStyle w:val="Normal"/>
              <w:ind w:hanging="0"/>
              <w:rPr>
                <w:szCs w:val="28"/>
              </w:rPr>
            </w:pPr>
            <w:r>
              <w:rPr>
                <w:szCs w:val="28"/>
              </w:rPr>
              <w:t xml:space="preserve"> </w:t>
            </w:r>
            <w:r>
              <w:rPr>
                <w:szCs w:val="28"/>
              </w:rPr>
              <w:t>- Закону України «Про державну службу»;</w:t>
            </w:r>
          </w:p>
          <w:p>
            <w:pPr>
              <w:pStyle w:val="Normal"/>
              <w:ind w:firstLine="3"/>
              <w:rPr>
                <w:szCs w:val="28"/>
                <w:lang w:val="ru-RU" w:eastAsia="uk-UA"/>
              </w:rPr>
            </w:pPr>
            <w:r>
              <w:rPr>
                <w:szCs w:val="28"/>
              </w:rPr>
              <w:t>-</w:t>
            </w:r>
            <w:r>
              <w:rPr>
                <w:sz w:val="24"/>
                <w:szCs w:val="24"/>
                <w:lang w:eastAsia="uk-UA"/>
              </w:rPr>
              <w:t xml:space="preserve"> </w:t>
            </w:r>
            <w:r>
              <w:rPr>
                <w:szCs w:val="28"/>
                <w:lang w:eastAsia="uk-UA"/>
              </w:rPr>
              <w:t xml:space="preserve">Закон України </w:t>
            </w:r>
            <w:r>
              <w:rPr>
                <w:szCs w:val="28"/>
              </w:rPr>
              <w:t>«</w:t>
            </w:r>
            <w:r>
              <w:rPr>
                <w:szCs w:val="28"/>
                <w:lang w:eastAsia="uk-UA"/>
              </w:rPr>
              <w:t>Про доступ до публічної інформації</w:t>
            </w:r>
            <w:r>
              <w:rPr>
                <w:szCs w:val="28"/>
              </w:rPr>
              <w:t>»;</w:t>
            </w:r>
          </w:p>
          <w:p>
            <w:pPr>
              <w:pStyle w:val="Normal"/>
              <w:ind w:hanging="0"/>
              <w:rPr>
                <w:szCs w:val="28"/>
              </w:rPr>
            </w:pPr>
            <w:r>
              <w:rPr>
                <w:szCs w:val="28"/>
                <w:lang w:val="ru-RU" w:eastAsia="uk-UA"/>
              </w:rPr>
              <w:t xml:space="preserve">- </w:t>
            </w:r>
            <w:r>
              <w:rPr>
                <w:szCs w:val="28"/>
                <w:lang w:eastAsia="uk-UA"/>
              </w:rPr>
              <w:t xml:space="preserve">Закон України </w:t>
            </w:r>
            <w:r>
              <w:rPr>
                <w:szCs w:val="28"/>
              </w:rPr>
              <w:t>«</w:t>
            </w:r>
            <w:r>
              <w:rPr>
                <w:szCs w:val="28"/>
                <w:lang w:eastAsia="uk-UA"/>
              </w:rPr>
              <w:t>Про захист персональних даних</w:t>
            </w:r>
            <w:r>
              <w:rPr>
                <w:szCs w:val="28"/>
              </w:rPr>
              <w:t>»</w:t>
            </w:r>
            <w:r>
              <w:rPr>
                <w:szCs w:val="28"/>
                <w:lang w:eastAsia="uk-UA"/>
              </w:rPr>
              <w:t>.</w:t>
            </w:r>
          </w:p>
        </w:tc>
      </w:tr>
      <w:tr>
        <w:trPr>
          <w:trHeight w:val="381" w:hRule="atLeast"/>
        </w:trPr>
        <w:tc>
          <w:tcPr>
            <w:tcW w:w="549"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0"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49" w:type="dxa"/>
            <w:tcBorders>
              <w:top w:val="single" w:sz="4" w:space="0" w:color="000000"/>
              <w:left w:val="single" w:sz="4" w:space="0" w:color="000000"/>
              <w:bottom w:val="single" w:sz="4" w:space="0" w:color="000000"/>
              <w:right w:val="single" w:sz="4" w:space="0" w:color="000000"/>
            </w:tcBorders>
          </w:tcPr>
          <w:p>
            <w:pPr>
              <w:pStyle w:val="BodyText"/>
              <w:ind w:hanging="0"/>
              <w:jc w:val="left"/>
              <w:rPr>
                <w:szCs w:val="28"/>
              </w:rPr>
            </w:pPr>
            <w:r>
              <w:rPr>
                <w:b w:val="false"/>
                <w:i w:val="false"/>
                <w:caps w:val="false"/>
                <w:smallCaps w:val="false"/>
                <w:color w:val="000000"/>
                <w:spacing w:val="0"/>
                <w:sz w:val="28"/>
                <w:szCs w:val="28"/>
                <w:shd w:fill="auto" w:val="clear"/>
              </w:rPr>
              <w:t>Знання:</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20.03.2022 № 332 “Деякі питання виплати допомоги на проживання внутрішньо переміщеним особам”</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-Постанова КМУ від від 02.08.2000 № 1192 „Про надання щомісячної грошової допомоги особі, яка проживає разом з особою з інвалідністю I чи II 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-Закон України від 28.02.1992 № 796 “Про статус і соціальний захист громадян, які постраждали внаслідок Чорнобильської катастрофи”;</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Сімейний кодекс України від 10.01.2002 № 2947-ІІІ ;</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22.02.2006 № 189 “Про затвердження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від 28.12.2016 № 1045 “Деякі питання виплати соціальних стипендій студентам (курсантам) закладів фахової передвищої та вищої освіти”;</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Закон України “Про державну допомогу сім’ям з дітьми” від 21.11.1992 No 2811-ХІІ;</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13.03.2019 № 250 “Деякі питання надання соціальної підтримки багатодітним сім'ям”;</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24 лютого 2003 р. № 250 “Про затвердження Порядку призначення і виплати державної соціальної допомоги малозабезпеченим сім'ям”;</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27.12.2001 № 1751 “Про затвердження Порядку призначення і виплати державної допомоги сім'ям з дітьми”;</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Закон України від 13.01.2005 № 2342-IV “Про забезпечення організаційно-правових умов соціального захисту дітей-сиріт та дітей, позбавлених батьківського піклування”;</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Постанови КМУ від 26.04.2002 № 564 “Про затвердження Положення про дитячий будинок сімейного типуˮ, від 26.04.2002 № 565 ”Про затвердження Положення про прийомну сім'юˮ, від 26.06.2019 № 552 “Деякі питання виплати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підтримки малих групових будинківˮ;</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20.08.2021 № 893 “Деякі питання захисту прав дитини та надання послуги патронату над дитиною”;</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04.02.2025 № 114 „Деякі питання призначення та виплати грошової компенсації вартості одноразової натуральної допомоги “пакунок малюка”;</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22.03.2024 № 331 „Деякі питання провадження діяльності з усиновлення та влаштування дітей-сиріт, дітей, позбавлених батьківського піклування, соціального захисту дітей, залишених без батьківського піклування”;</w:t>
            </w:r>
          </w:p>
          <w:p>
            <w:pPr>
              <w:pStyle w:val="BodyText"/>
              <w:widowControl/>
              <w:spacing w:lineRule="auto" w:line="274" w:before="0" w:after="0"/>
              <w:ind w:hanging="0" w:left="0" w:right="0"/>
              <w:jc w:val="left"/>
              <w:rPr>
                <w:szCs w:val="28"/>
              </w:rPr>
            </w:pPr>
            <w:r>
              <w:rPr>
                <w:b w:val="false"/>
                <w:i w:val="false"/>
                <w:caps w:val="false"/>
                <w:smallCaps w:val="false"/>
                <w:color w:val="000000"/>
                <w:spacing w:val="0"/>
                <w:sz w:val="28"/>
                <w:szCs w:val="28"/>
                <w:shd w:fill="auto" w:val="clear"/>
              </w:rPr>
              <w:t>- Постанова КМУ від 02.04.2005 № 261 “Про затвердження Порядку призначення і виплати державної соціальної допомоги особам, які не мають права на пенсію, та особам з інвалідністю і державної соціальної допомоги на догляд” та інші.</w:t>
            </w:r>
          </w:p>
        </w:tc>
      </w:tr>
    </w:tbl>
    <w:p>
      <w:pPr>
        <w:pStyle w:val="Style16"/>
        <w:ind w:hanging="0"/>
        <w:jc w:val="center"/>
        <w:rPr>
          <w:bCs/>
          <w:szCs w:val="28"/>
        </w:rPr>
      </w:pPr>
      <w:r>
        <w:rPr>
          <w:bCs/>
          <w:szCs w:val="28"/>
        </w:rPr>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t>____________________________________</w:t>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898,4909" stroked="t" o:allowincell="f" style="position:absolute;margin-left:0.05pt;margin-top:-140.25pt;width:138.75pt;height:139.1pt;mso-wrap-style:none;v-text-anchor:middle;mso-position-horizontal:center;mso-position-horizontal-relative:margin" path="m4897,4908l0,4908l0,0l4897,0l4897,4908e">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w:pict>
        <v:shape id="shape_0" coordsize="10871,3898" stroked="t" o:allowincell="f" style="position:absolute;margin-left:86.85pt;margin-top:-1857.45pt;width:308.1pt;height:110.45pt;mso-position-horizontal:center;mso-position-horizontal-relative:margin" path="m10870,3897l10870,0l10870,3897l0,3897l0,0e">
          <v:stroke color="black" joinstyle="round" endcap="flat"/>
          <v:fill o:detectmouseclick="t" on="false"/>
          <w10:wrap type="none"/>
        </v:shape>
      </w:pic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left"/>
      <w:pPr>
        <w:tabs>
          <w:tab w:val="num" w:pos="0"/>
        </w:tabs>
        <w:ind w:left="380" w:hanging="360"/>
      </w:pPr>
      <w:rPr>
        <w:rFonts w:ascii="Times New Roman" w:hAnsi="Times New Roman" w:cs="Times New Roman" w:hint="default"/>
      </w:rPr>
    </w:lvl>
    <w:lvl w:ilvl="1">
      <w:start w:val="1"/>
      <w:numFmt w:val="bullet"/>
      <w:lvlText w:val="o"/>
      <w:lvlJc w:val="left"/>
      <w:pPr>
        <w:tabs>
          <w:tab w:val="num" w:pos="0"/>
        </w:tabs>
        <w:ind w:left="1100" w:hanging="360"/>
      </w:pPr>
      <w:rPr>
        <w:rFonts w:ascii="Courier New" w:hAnsi="Courier New" w:cs="Courier New" w:hint="default"/>
      </w:rPr>
    </w:lvl>
    <w:lvl w:ilvl="2">
      <w:start w:val="1"/>
      <w:numFmt w:val="bullet"/>
      <w:lvlText w:val=""/>
      <w:lvlJc w:val="left"/>
      <w:pPr>
        <w:tabs>
          <w:tab w:val="num" w:pos="0"/>
        </w:tabs>
        <w:ind w:left="1820" w:hanging="360"/>
      </w:pPr>
      <w:rPr>
        <w:rFonts w:ascii="Wingdings" w:hAnsi="Wingdings" w:cs="Wingdings" w:hint="default"/>
      </w:rPr>
    </w:lvl>
    <w:lvl w:ilvl="3">
      <w:start w:val="1"/>
      <w:numFmt w:val="bullet"/>
      <w:lvlText w:val=""/>
      <w:lvlJc w:val="left"/>
      <w:pPr>
        <w:tabs>
          <w:tab w:val="num" w:pos="0"/>
        </w:tabs>
        <w:ind w:left="2540" w:hanging="360"/>
      </w:pPr>
      <w:rPr>
        <w:rFonts w:ascii="Symbol" w:hAnsi="Symbol" w:cs="Symbol" w:hint="default"/>
      </w:rPr>
    </w:lvl>
    <w:lvl w:ilvl="4">
      <w:start w:val="1"/>
      <w:numFmt w:val="bullet"/>
      <w:lvlText w:val="o"/>
      <w:lvlJc w:val="left"/>
      <w:pPr>
        <w:tabs>
          <w:tab w:val="num" w:pos="0"/>
        </w:tabs>
        <w:ind w:left="3260" w:hanging="360"/>
      </w:pPr>
      <w:rPr>
        <w:rFonts w:ascii="Courier New" w:hAnsi="Courier New" w:cs="Courier New" w:hint="default"/>
      </w:rPr>
    </w:lvl>
    <w:lvl w:ilvl="5">
      <w:start w:val="1"/>
      <w:numFmt w:val="bullet"/>
      <w:lvlText w:val=""/>
      <w:lvlJc w:val="left"/>
      <w:pPr>
        <w:tabs>
          <w:tab w:val="num" w:pos="0"/>
        </w:tabs>
        <w:ind w:left="3980" w:hanging="360"/>
      </w:pPr>
      <w:rPr>
        <w:rFonts w:ascii="Wingdings" w:hAnsi="Wingdings" w:cs="Wingdings" w:hint="default"/>
      </w:rPr>
    </w:lvl>
    <w:lvl w:ilvl="6">
      <w:start w:val="1"/>
      <w:numFmt w:val="bullet"/>
      <w:lvlText w:val=""/>
      <w:lvlJc w:val="left"/>
      <w:pPr>
        <w:tabs>
          <w:tab w:val="num" w:pos="0"/>
        </w:tabs>
        <w:ind w:left="4700" w:hanging="360"/>
      </w:pPr>
      <w:rPr>
        <w:rFonts w:ascii="Symbol" w:hAnsi="Symbol" w:cs="Symbol" w:hint="default"/>
      </w:rPr>
    </w:lvl>
    <w:lvl w:ilvl="7">
      <w:start w:val="1"/>
      <w:numFmt w:val="bullet"/>
      <w:lvlText w:val="o"/>
      <w:lvlJc w:val="left"/>
      <w:pPr>
        <w:tabs>
          <w:tab w:val="num" w:pos="0"/>
        </w:tabs>
        <w:ind w:left="5420" w:hanging="360"/>
      </w:pPr>
      <w:rPr>
        <w:rFonts w:ascii="Courier New" w:hAnsi="Courier New" w:cs="Courier New" w:hint="default"/>
      </w:rPr>
    </w:lvl>
    <w:lvl w:ilvl="8">
      <w:start w:val="1"/>
      <w:numFmt w:val="bullet"/>
      <w:lvlText w:val=""/>
      <w:lvlJc w:val="left"/>
      <w:pPr>
        <w:tabs>
          <w:tab w:val="num" w:pos="0"/>
        </w:tabs>
        <w:ind w:left="614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doNotBreakWrappedTables/>
    <w:compatSetting w:name="compatibilityMode" w:uri="http://schemas.microsoft.com/office/word" w:val="12"/>
  </w:compat>
  <w:docVars>
    <w:docVar w:name="StepHandle" w:val="262696"/>
  </w:docVars>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0"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UnresolvedMention" w:customStyle="1">
    <w:name w:val="Unresolved Mention"/>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23fb0664" w:customStyle="1">
    <w:name w:val="cs23fb0664"/>
    <w:basedOn w:val="DefaultParagraphFont"/>
    <w:qFormat/>
    <w:rsid w:val="00257181"/>
    <w:rPr/>
  </w:style>
  <w:style w:type="character" w:styleId="Hyperlink">
    <w:name w:val="Hyperlink"/>
    <w:rsid w:val="00044672"/>
    <w:rPr>
      <w:color w:val="000080"/>
      <w:u w:val="single"/>
    </w:rPr>
  </w:style>
  <w:style w:type="character" w:styleId="1" w:customStyle="1">
    <w:name w:val="Неразрешенное упоминание1"/>
    <w:basedOn w:val="DefaultParagraphFont"/>
    <w:qFormat/>
    <w:rsid w:val="00d65211"/>
    <w:rPr>
      <w:color w:val="605E5C"/>
      <w:shd w:fill="E1DFDD" w:val="clear"/>
    </w:rPr>
  </w:style>
  <w:style w:type="character" w:styleId="31" w:customStyle="1">
    <w:name w:val="Заголовок 3 Знак"/>
    <w:basedOn w:val="DefaultParagraphFont"/>
    <w:qFormat/>
    <w:rsid w:val="00d65211"/>
    <w:rPr>
      <w:b/>
      <w:i/>
      <w:sz w:val="28"/>
      <w:lang w:eastAsia="ru-RU"/>
    </w:rPr>
  </w:style>
  <w:style w:type="character" w:styleId="Strong">
    <w:name w:val="Strong"/>
    <w:basedOn w:val="DefaultParagraphFont"/>
    <w:qFormat/>
    <w:rsid w:val="00d65211"/>
    <w:rPr>
      <w:b/>
      <w:bCs/>
    </w:rPr>
  </w:style>
  <w:style w:type="character" w:styleId="csd2c743de">
    <w:name w:val="csd2c743de"/>
    <w:basedOn w:val="DefaultParagraphFont"/>
    <w:qFormat/>
    <w:rPr/>
  </w:style>
  <w:style w:type="paragraph" w:styleId="Style13" w:customStyle="1">
    <w:name w:val="Заголовок"/>
    <w:basedOn w:val="Normal"/>
    <w:next w:val="BodyText"/>
    <w:qFormat/>
    <w:rsid w:val="00ea2d11"/>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044672"/>
    <w:pPr/>
    <w:rPr>
      <w:rFonts w:cs="Lucida Sans"/>
    </w:rPr>
  </w:style>
  <w:style w:type="paragraph" w:styleId="Caption">
    <w:name w:val="caption"/>
    <w:basedOn w:val="Normal"/>
    <w:qFormat/>
    <w:rsid w:val="00044672"/>
    <w:pPr>
      <w:suppressLineNumbers/>
      <w:spacing w:before="120" w:after="120"/>
    </w:pPr>
    <w:rPr>
      <w:rFonts w:cs="Lucida Sans"/>
      <w:i/>
      <w:iCs/>
      <w:sz w:val="24"/>
      <w:szCs w:val="24"/>
    </w:rPr>
  </w:style>
  <w:style w:type="paragraph" w:styleId="Style14" w:customStyle="1">
    <w:name w:val="Покажчик"/>
    <w:basedOn w:val="Normal"/>
    <w:qFormat/>
    <w:rsid w:val="00ea2d11"/>
    <w:pPr>
      <w:suppressLineNumbers/>
    </w:pPr>
    <w:rPr>
      <w:rFonts w:cs="Lucida Sans"/>
    </w:rPr>
  </w:style>
  <w:style w:type="paragraph" w:styleId="user" w:customStyle="1">
    <w:name w:val="Заголовок (user)"/>
    <w:basedOn w:val="Normal"/>
    <w:next w:val="BodyText"/>
    <w:qFormat/>
    <w:rsid w:val="00044672"/>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044672"/>
    <w:pPr>
      <w:suppressLineNumbers/>
    </w:pPr>
    <w:rPr>
      <w:rFonts w:cs="Lucida Sans"/>
    </w:rPr>
  </w:style>
  <w:style w:type="paragraph" w:styleId="Style15" w:customStyle="1">
    <w:name w:val="Верхній і нижній колонтитули"/>
    <w:basedOn w:val="Normal"/>
    <w:qFormat/>
    <w:rsid w:val="00044672"/>
    <w:pPr/>
    <w:rPr/>
  </w:style>
  <w:style w:type="paragraph" w:styleId="user2" w:customStyle="1">
    <w:name w:val="Верхній і нижній колонтитули (user)"/>
    <w:basedOn w:val="Normal"/>
    <w:qFormat/>
    <w:rsid w:val="00ea2d11"/>
    <w:pPr/>
    <w:rPr/>
  </w:style>
  <w:style w:type="paragraph" w:styleId="Footer">
    <w:name w:val="footer"/>
    <w:basedOn w:val="Normal"/>
    <w:rsid w:val="00a0742f"/>
    <w:pPr>
      <w:tabs>
        <w:tab w:val="clear" w:pos="720"/>
        <w:tab w:val="center" w:pos="4153" w:leader="none"/>
        <w:tab w:val="right" w:pos="8306" w:leader="none"/>
      </w:tabs>
    </w:pPr>
    <w:rPr/>
  </w:style>
  <w:style w:type="paragraph" w:styleId="Style16" w:customStyle="1">
    <w:name w:val="Нормальний текст"/>
    <w:basedOn w:val="Normal"/>
    <w:qFormat/>
    <w:rsid w:val="00a0742f"/>
    <w:pPr>
      <w:spacing w:before="120" w:after="0"/>
      <w:ind w:firstLine="567"/>
    </w:pPr>
    <w:rPr/>
  </w:style>
  <w:style w:type="paragraph" w:styleId="Style17"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1"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18" w:customStyle="1">
    <w:name w:val="Глава документу"/>
    <w:basedOn w:val="Normal"/>
    <w:next w:val="Normal"/>
    <w:qFormat/>
    <w:rsid w:val="00a0742f"/>
    <w:pPr>
      <w:keepNext w:val="true"/>
      <w:keepLines/>
      <w:spacing w:before="120" w:after="120"/>
      <w:jc w:val="center"/>
    </w:pPr>
    <w:rPr/>
  </w:style>
  <w:style w:type="paragraph" w:styleId="Style19" w:customStyle="1">
    <w:name w:val="Герб"/>
    <w:basedOn w:val="Normal"/>
    <w:qFormat/>
    <w:rsid w:val="00a0742f"/>
    <w:pPr>
      <w:keepNext w:val="true"/>
      <w:keepLines/>
      <w:jc w:val="center"/>
    </w:pPr>
    <w:rPr>
      <w:sz w:val="144"/>
      <w:lang w:val="en-US"/>
    </w:rPr>
  </w:style>
  <w:style w:type="paragraph" w:styleId="Style20" w:customStyle="1">
    <w:name w:val="Установа"/>
    <w:basedOn w:val="Normal"/>
    <w:qFormat/>
    <w:rsid w:val="00a0742f"/>
    <w:pPr>
      <w:keepNext w:val="true"/>
      <w:keepLines/>
      <w:spacing w:before="120" w:after="0"/>
      <w:jc w:val="center"/>
    </w:pPr>
    <w:rPr>
      <w:b/>
      <w:sz w:val="40"/>
    </w:rPr>
  </w:style>
  <w:style w:type="paragraph" w:styleId="Style21" w:customStyle="1">
    <w:name w:val="Вид документа"/>
    <w:basedOn w:val="Style20"/>
    <w:next w:val="Normal"/>
    <w:qFormat/>
    <w:rsid w:val="00a0742f"/>
    <w:pPr>
      <w:spacing w:before="360" w:after="240"/>
    </w:pPr>
    <w:rPr>
      <w:spacing w:val="20"/>
      <w:sz w:val="26"/>
    </w:rPr>
  </w:style>
  <w:style w:type="paragraph" w:styleId="Style22" w:customStyle="1">
    <w:name w:val="Час та місце"/>
    <w:basedOn w:val="Normal"/>
    <w:qFormat/>
    <w:rsid w:val="00a0742f"/>
    <w:pPr>
      <w:keepNext w:val="true"/>
      <w:keepLines/>
      <w:spacing w:before="120" w:after="240"/>
      <w:jc w:val="center"/>
    </w:pPr>
    <w:rPr/>
  </w:style>
  <w:style w:type="paragraph" w:styleId="Style23" w:customStyle="1">
    <w:name w:val="Назва документа"/>
    <w:basedOn w:val="Normal"/>
    <w:next w:val="Style16"/>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2d0a5422" w:customStyle="1">
    <w:name w:val="cs2d0a5422"/>
    <w:basedOn w:val="Normal"/>
    <w:qFormat/>
    <w:rsid w:val="00257181"/>
    <w:pPr>
      <w:spacing w:lineRule="auto" w:line="240" w:beforeAutospacing="1" w:afterAutospacing="1"/>
      <w:ind w:hanging="0"/>
      <w:jc w:val="left"/>
    </w:pPr>
    <w:rPr>
      <w:sz w:val="24"/>
      <w:szCs w:val="24"/>
      <w:lang w:eastAsia="uk-UA"/>
    </w:rPr>
  </w:style>
  <w:style w:type="paragraph" w:styleId="cs7115dbcf" w:customStyle="1">
    <w:name w:val="cs7115dbcf"/>
    <w:basedOn w:val="Normal"/>
    <w:qFormat/>
    <w:rsid w:val="00257181"/>
    <w:pPr>
      <w:spacing w:lineRule="auto" w:line="240" w:beforeAutospacing="1" w:afterAutospacing="1"/>
      <w:ind w:hanging="0"/>
      <w:jc w:val="left"/>
    </w:pPr>
    <w:rPr>
      <w:sz w:val="24"/>
      <w:szCs w:val="24"/>
      <w:lang w:eastAsia="uk-UA"/>
    </w:rPr>
  </w:style>
  <w:style w:type="paragraph" w:styleId="cs475609cc" w:customStyle="1">
    <w:name w:val="cs475609cc"/>
    <w:basedOn w:val="Normal"/>
    <w:qFormat/>
    <w:rsid w:val="00257181"/>
    <w:pPr>
      <w:spacing w:lineRule="auto" w:line="240" w:beforeAutospacing="1" w:afterAutospacing="1"/>
      <w:ind w:hanging="0"/>
      <w:jc w:val="left"/>
    </w:pPr>
    <w:rPr>
      <w:sz w:val="24"/>
      <w:szCs w:val="24"/>
      <w:lang w:eastAsia="uk-UA"/>
    </w:rPr>
  </w:style>
  <w:style w:type="paragraph" w:styleId="cs61116938" w:customStyle="1">
    <w:name w:val="cs61116938"/>
    <w:basedOn w:val="Normal"/>
    <w:qFormat/>
    <w:rsid w:val="00257181"/>
    <w:pPr>
      <w:spacing w:lineRule="auto" w:line="240" w:beforeAutospacing="1" w:afterAutospacing="1"/>
      <w:ind w:hanging="0"/>
      <w:jc w:val="left"/>
    </w:pPr>
    <w:rPr>
      <w:sz w:val="24"/>
      <w:szCs w:val="24"/>
      <w:lang w:eastAsia="uk-UA"/>
    </w:rPr>
  </w:style>
  <w:style w:type="paragraph" w:styleId="cs2654ae3a" w:customStyle="1">
    <w:name w:val="cs2654ae3a"/>
    <w:basedOn w:val="Normal"/>
    <w:qFormat/>
    <w:rsid w:val="00257181"/>
    <w:pPr>
      <w:spacing w:lineRule="auto" w:line="240" w:beforeAutospacing="1" w:afterAutospacing="1"/>
      <w:ind w:hanging="0"/>
      <w:jc w:val="left"/>
    </w:pPr>
    <w:rPr>
      <w:sz w:val="24"/>
      <w:szCs w:val="24"/>
      <w:lang w:eastAsia="uk-UA"/>
    </w:rPr>
  </w:style>
  <w:style w:type="paragraph" w:styleId="csabb0e626" w:customStyle="1">
    <w:name w:val="csabb0e626"/>
    <w:basedOn w:val="Normal"/>
    <w:qFormat/>
    <w:rsid w:val="00257181"/>
    <w:pPr>
      <w:spacing w:lineRule="auto" w:line="240" w:beforeAutospacing="1" w:afterAutospacing="1"/>
      <w:ind w:hanging="0"/>
      <w:jc w:val="left"/>
    </w:pPr>
    <w:rPr>
      <w:sz w:val="24"/>
      <w:szCs w:val="24"/>
      <w:lang w:eastAsia="uk-UA"/>
    </w:rPr>
  </w:style>
  <w:style w:type="paragraph" w:styleId="rvps6" w:customStyle="1">
    <w:name w:val="rvps6"/>
    <w:basedOn w:val="Normal"/>
    <w:qFormat/>
    <w:rsid w:val="00d81fa2"/>
    <w:pPr>
      <w:spacing w:lineRule="auto" w:line="240" w:before="240" w:after="360"/>
      <w:ind w:hanging="0" w:left="360" w:right="360"/>
      <w:jc w:val="center"/>
    </w:pPr>
    <w:rPr>
      <w:sz w:val="24"/>
      <w:szCs w:val="24"/>
      <w:lang w:eastAsia="uk-UA"/>
    </w:rPr>
  </w:style>
  <w:style w:type="paragraph" w:styleId="user3" w:customStyle="1">
    <w:name w:val="Вміст рамки (user)"/>
    <w:basedOn w:val="Normal"/>
    <w:qFormat/>
    <w:rsid w:val="00044672"/>
    <w:pPr/>
    <w:rPr/>
  </w:style>
  <w:style w:type="paragraph" w:styleId="Style24" w:customStyle="1">
    <w:name w:val="Вміст рамки"/>
    <w:basedOn w:val="Normal"/>
    <w:qFormat/>
    <w:rsid w:val="00ea2d11"/>
    <w:pPr/>
    <w:rPr/>
  </w:style>
  <w:style w:type="paragraph" w:styleId="12" w:customStyle="1">
    <w:name w:val="Звичайний1"/>
    <w:qFormat/>
    <w:rsid w:val="00d65211"/>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numbering" w:styleId="user4" w:customStyle="1">
    <w:name w:val="Без маркерів (user)"/>
    <w:uiPriority w:val="99"/>
    <w:semiHidden/>
    <w:unhideWhenUsed/>
    <w:qFormat/>
    <w:rsid w:val="00044672"/>
  </w:style>
  <w:style w:type="numbering" w:styleId="Style25" w:customStyle="1">
    <w:name w:val="Без маркерів"/>
    <w:uiPriority w:val="99"/>
    <w:semiHidden/>
    <w:unhideWhenUsed/>
    <w:qFormat/>
    <w:rsid w:val="00ea2d11"/>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d">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45E3B-2309-46AF-9A18-5E571A1D0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Application>LibreOffice/26.2.0.3$Windows_X86_64 LibreOffice_project/620$Build-3</Application>
  <AppVersion>15.0000</AppVersion>
  <Pages>6</Pages>
  <Words>1139</Words>
  <Characters>7259</Characters>
  <CharactersWithSpaces>8271</CharactersWithSpaces>
  <Paragraphs>86</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2020-07-03T07:18:00Z</cp:lastPrinted>
  <dcterms:modified xsi:type="dcterms:W3CDTF">2026-08-17T14:23:42Z</dcterms:modified>
  <cp:revision>111</cp:revision>
  <dc:subject/>
  <dc:title>£</dc:title>
</cp:coreProperties>
</file>

<file path=docProps/custom.xml><?xml version="1.0" encoding="utf-8"?>
<Properties xmlns="http://schemas.openxmlformats.org/officeDocument/2006/custom-properties" xmlns:vt="http://schemas.openxmlformats.org/officeDocument/2006/docPropsVTypes"/>
</file>