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/>
        <w:t>від “17” серпня 2026 року №________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проведення добору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на зайняття посад державної служби категорії «Б» -</w:t>
      </w:r>
      <w:r>
        <w:rPr>
          <w:rFonts w:eastAsia="Arial Unicode MS"/>
          <w:i w:val="false"/>
          <w:iCs w:val="false"/>
          <w:color w:val="000000"/>
        </w:rPr>
        <w:t xml:space="preserve"> </w:t>
      </w:r>
      <w:r>
        <w:rPr>
          <w:rFonts w:eastAsia="Arial Unicode MS"/>
          <w:b w:val="false"/>
          <w:bCs/>
          <w:i w:val="false"/>
          <w:iCs w:val="false"/>
          <w:color w:val="000000"/>
          <w:szCs w:val="28"/>
        </w:rPr>
        <w:t>заступник начальника відділу методологічного забезпечення управління субсидій, пільг та соціальних допомог</w:t>
      </w:r>
    </w:p>
    <w:p>
      <w:pPr>
        <w:pStyle w:val="Normal"/>
        <w:suppressAutoHyphens w:val="true"/>
        <w:spacing w:lineRule="auto" w:line="240"/>
        <w:ind w:hanging="0"/>
        <w:jc w:val="center"/>
        <w:rPr/>
      </w:pPr>
      <w:r>
        <w:rPr>
          <w:rStyle w:val="csd2c743de"/>
          <w:b w:val="false"/>
          <w:bCs w:val="false"/>
          <w:i w:val="false"/>
          <w:iCs w:val="false"/>
          <w:color w:val="000000"/>
        </w:rPr>
        <w:t xml:space="preserve"> </w:t>
      </w:r>
      <w:r>
        <w:rPr>
          <w:rStyle w:val="csd2c743de"/>
          <w:b w:val="false"/>
          <w:bCs w:val="false"/>
          <w:i w:val="false"/>
          <w:iCs w:val="false"/>
          <w:color w:val="000000"/>
        </w:rPr>
        <w:t>(</w:t>
      </w:r>
      <w:r>
        <w:rPr>
          <w:rStyle w:val="csd2c743de"/>
          <w:b w:val="false"/>
          <w:bCs w:val="false"/>
          <w:i w:val="false"/>
          <w:iCs w:val="false"/>
          <w:color w:val="000000"/>
          <w:sz w:val="28"/>
          <w:szCs w:val="28"/>
        </w:rPr>
        <w:t>пр-т Берестейський, 50</w:t>
      </w:r>
      <w:r>
        <w:rPr>
          <w:rStyle w:val="csd2c743de"/>
          <w:b w:val="false"/>
          <w:bCs w:val="false"/>
          <w:i w:val="false"/>
          <w:iCs w:val="false"/>
          <w:color w:val="000000"/>
        </w:rPr>
        <w:t>)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Style w:val="af"/>
        <w:tblW w:w="9452" w:type="dxa"/>
        <w:jc w:val="left"/>
        <w:tblInd w:w="2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"/>
        <w:gridCol w:w="2978"/>
        <w:gridCol w:w="23"/>
        <w:gridCol w:w="5934"/>
      </w:tblGrid>
      <w:tr>
        <w:trPr/>
        <w:tc>
          <w:tcPr>
            <w:tcW w:w="9452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181"/>
              <w:jc w:val="center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4"/>
                <w:lang w:val="uk-UA" w:bidi="ar-SA"/>
              </w:rPr>
              <w:t>Загальні умови</w:t>
            </w:r>
          </w:p>
        </w:tc>
      </w:tr>
      <w:tr>
        <w:trPr>
          <w:trHeight w:val="3973" w:hRule="atLeast"/>
        </w:trPr>
        <w:tc>
          <w:tcPr>
            <w:tcW w:w="349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Посадові обов’язки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spacing w:before="0" w:after="0"/>
              <w:ind w:hanging="0" w:left="0"/>
              <w:jc w:val="both"/>
              <w:rPr/>
            </w:pPr>
            <w:r>
              <w:rPr>
                <w:rStyle w:val="csd2c743de"/>
                <w:i w:val="false"/>
                <w:iCs w:val="false"/>
                <w:color w:val="000000"/>
                <w:sz w:val="26"/>
                <w:szCs w:val="26"/>
              </w:rPr>
              <w:t xml:space="preserve">1. Координація роботи щодо перевірки рішень про призначення </w:t>
            </w:r>
            <w:r>
              <w:rPr>
                <w:rStyle w:val="csd2c743de"/>
                <w:i w:val="false"/>
                <w:iCs w:val="false"/>
                <w:color w:val="000000"/>
                <w:sz w:val="26"/>
                <w:szCs w:val="26"/>
                <w:lang w:val="uk-UA"/>
              </w:rPr>
              <w:t>(перерахунку) субсидій, пільг, разових грошових виплат (компенсацій) та соціальних допомог та правильності призначення (перерахунку) та поновлення виплати субсидій, пільг, разових грошових виплат (компенсацій) та соціальних допомог на виконання судових рішень. У разі встановлення порушення забезпечення вжиття заходів щодо усунення недоліків, виявлених під час перевірки.</w:t>
            </w:r>
          </w:p>
          <w:p>
            <w:pPr>
              <w:pStyle w:val="Normal"/>
              <w:spacing w:before="0" w:after="0"/>
              <w:ind w:hanging="0" w:left="0"/>
              <w:jc w:val="both"/>
              <w:rPr/>
            </w:pPr>
            <w:r>
              <w:rPr>
                <w:rStyle w:val="csd2c743de"/>
                <w:i w:val="false"/>
                <w:iCs w:val="false"/>
                <w:color w:val="000000"/>
                <w:sz w:val="26"/>
                <w:szCs w:val="26"/>
                <w:lang w:val="uk-UA"/>
              </w:rPr>
              <w:t>2. Розроблення методичних рекомендацій з питань застосування законодавства та інших матеріалів, спрямованих на вдосконалення процесів виконання покладених на управління завдань та впровадження сучасних методів організації роботи.</w:t>
            </w:r>
          </w:p>
          <w:p>
            <w:pPr>
              <w:pStyle w:val="Normal"/>
              <w:spacing w:before="0" w:after="0"/>
              <w:ind w:hanging="0" w:left="0"/>
              <w:jc w:val="both"/>
              <w:rPr/>
            </w:pPr>
            <w:r>
              <w:rPr>
                <w:rStyle w:val="csd2c743de"/>
                <w:i w:val="false"/>
                <w:iCs w:val="false"/>
                <w:color w:val="000000"/>
                <w:sz w:val="26"/>
                <w:szCs w:val="26"/>
                <w:lang w:val="uk-UA"/>
              </w:rPr>
              <w:t>3. Організація роботи щодо надання практичної, консультативної та методичної допомоги спеціалістам структурних підрозділів упрвління з питань застосування норм чинного законодавства при призначені (перерахунку) субсидій, пільг, разових грошових виплат (компенсацій) та соціальних допомог. Вжиття заходів щодо виявлення проблемних аспектів в організації робот і питань, що належать до компетенції управління.</w:t>
            </w:r>
          </w:p>
          <w:p>
            <w:pPr>
              <w:pStyle w:val="Normal"/>
              <w:spacing w:before="0" w:after="0"/>
              <w:ind w:hanging="0" w:left="0"/>
              <w:jc w:val="both"/>
              <w:rPr/>
            </w:pPr>
            <w:r>
              <w:rPr>
                <w:rStyle w:val="csd2c743de"/>
                <w:i w:val="false"/>
                <w:iCs w:val="false"/>
                <w:color w:val="000000"/>
                <w:sz w:val="26"/>
                <w:szCs w:val="26"/>
                <w:lang w:val="uk-UA"/>
              </w:rPr>
              <w:t>4. Здійснення контролю за тестуванням програмного забезпечення та узагальнення наданих пропозицій щодо його удосконалення.</w:t>
            </w:r>
          </w:p>
          <w:p>
            <w:pPr>
              <w:pStyle w:val="Normal"/>
              <w:spacing w:before="0" w:after="0"/>
              <w:ind w:hanging="0" w:left="0"/>
              <w:jc w:val="both"/>
              <w:rPr/>
            </w:pPr>
            <w:r>
              <w:rPr>
                <w:rStyle w:val="csd2c743de"/>
                <w:i w:val="false"/>
                <w:iCs w:val="false"/>
                <w:color w:val="000000"/>
                <w:sz w:val="26"/>
                <w:szCs w:val="26"/>
                <w:lang w:val="uk-UA"/>
              </w:rPr>
              <w:t>5. Організація роботи щодо розгляду звернень заяв та скарг, запитів на інформацію, що надходять до Головного управління. Виявлення та усунення причин, що призводять до подання громадянами скарг та повторних звернень.</w:t>
            </w:r>
          </w:p>
          <w:p>
            <w:pPr>
              <w:pStyle w:val="Normal"/>
              <w:spacing w:before="0" w:after="0"/>
              <w:ind w:hanging="0" w:left="0"/>
              <w:jc w:val="both"/>
              <w:rPr/>
            </w:pPr>
            <w:r>
              <w:rPr>
                <w:rStyle w:val="csd2c743de"/>
                <w:i w:val="false"/>
                <w:iCs w:val="false"/>
                <w:color w:val="000000"/>
                <w:sz w:val="26"/>
                <w:szCs w:val="26"/>
                <w:lang w:val="uk-UA"/>
              </w:rPr>
              <w:t>6. Здійснення контролю розгляду звернень, заяв та скарг громадян, підприємств та організацій, посадових осі, запитів на інформацію, адвокатських запитів, депутатський звернень та запитів, що належать до компетенції управління.</w:t>
            </w:r>
          </w:p>
          <w:p>
            <w:pPr>
              <w:pStyle w:val="Normal"/>
              <w:spacing w:before="0" w:after="0"/>
              <w:ind w:hanging="0" w:left="0"/>
              <w:jc w:val="both"/>
              <w:rPr/>
            </w:pPr>
            <w:r>
              <w:rPr>
                <w:rStyle w:val="csd2c743de"/>
                <w:i w:val="false"/>
                <w:iCs w:val="false"/>
                <w:color w:val="000000"/>
                <w:sz w:val="26"/>
                <w:szCs w:val="26"/>
                <w:lang w:val="uk-UA"/>
              </w:rPr>
              <w:t>7. Здійснює контроль за дотриманням строків та повнотою розгляду звернень.</w:t>
            </w:r>
          </w:p>
          <w:p>
            <w:pPr>
              <w:pStyle w:val="Normal"/>
              <w:spacing w:before="0" w:after="0"/>
              <w:ind w:hanging="0" w:left="0"/>
              <w:jc w:val="both"/>
              <w:rPr/>
            </w:pPr>
            <w:r>
              <w:rPr>
                <w:rStyle w:val="csd2c743de"/>
                <w:i w:val="false"/>
                <w:iCs w:val="false"/>
                <w:color w:val="000000"/>
                <w:sz w:val="26"/>
                <w:szCs w:val="26"/>
                <w:lang w:val="uk-UA"/>
              </w:rPr>
              <w:t xml:space="preserve">8. </w:t>
            </w:r>
            <w:r>
              <w:rPr>
                <w:rStyle w:val="csd2c743de"/>
                <w:i w:val="false"/>
                <w:iCs w:val="false"/>
                <w:color w:val="000000"/>
                <w:sz w:val="26"/>
                <w:szCs w:val="26"/>
                <w:shd w:fill="FFFFFF" w:val="clear"/>
                <w:lang w:val="uk-UA"/>
              </w:rPr>
              <w:t>Здійснення контролю виконання судових рішень відповідно до функцій управління. Забезпечення виконання вимог законодавства про запобігання корупції.</w:t>
            </w:r>
          </w:p>
          <w:p>
            <w:pPr>
              <w:pStyle w:val="Normal"/>
              <w:spacing w:before="0" w:after="0"/>
              <w:ind w:hanging="0" w:left="0"/>
              <w:jc w:val="both"/>
              <w:rPr/>
            </w:pPr>
            <w:r>
              <w:rPr>
                <w:rStyle w:val="csd2c743de"/>
                <w:i w:val="false"/>
                <w:iCs w:val="false"/>
                <w:color w:val="000000"/>
                <w:sz w:val="26"/>
                <w:szCs w:val="26"/>
                <w:shd w:fill="FFFFFF" w:val="clear"/>
                <w:lang w:val="uk-UA"/>
              </w:rPr>
              <w:t>9. Забезпечення в межах своєї компетенції дотримання законодавства про інформацію та доступ до публічної інформації та персональних даних осіб, які мають право на призначення субсидій, пільг, разових грошових виплат (компенсацій) та соціальних допомог.</w:t>
            </w:r>
          </w:p>
          <w:p>
            <w:pPr>
              <w:pStyle w:val="Normal"/>
              <w:spacing w:before="0" w:after="0"/>
              <w:ind w:hanging="0" w:left="0"/>
              <w:jc w:val="both"/>
              <w:rPr/>
            </w:pPr>
            <w:r>
              <w:rPr>
                <w:rStyle w:val="csd2c743de"/>
                <w:i w:val="false"/>
                <w:iCs w:val="false"/>
                <w:color w:val="000000"/>
                <w:sz w:val="26"/>
                <w:szCs w:val="26"/>
                <w:shd w:fill="FFFFFF" w:val="clear"/>
                <w:lang w:val="uk-UA"/>
              </w:rPr>
              <w:t>10. Виконання обов’язків у разі відсутності начальника відділу з поважних причин (відпустка, хвороба, тощо) та нести відповідальність за їх невиконання; виконання додаткових завдань безпосереднього керівника.</w:t>
            </w:r>
          </w:p>
        </w:tc>
      </w:tr>
      <w:tr>
        <w:trPr/>
        <w:tc>
          <w:tcPr>
            <w:tcW w:w="349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Умови оплати праці</w:t>
            </w:r>
          </w:p>
        </w:tc>
        <w:tc>
          <w:tcPr>
            <w:tcW w:w="5957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/>
            </w:pPr>
            <w:r>
              <w:rPr>
                <w:rFonts w:eastAsia="Times New Roman" w:cs="Times New Roman"/>
                <w:bCs/>
                <w:kern w:val="0"/>
                <w:sz w:val="26"/>
                <w:szCs w:val="26"/>
                <w:lang w:val="uk-UA" w:bidi="ar-SA"/>
              </w:rPr>
              <w:t>Посадовий оклад – 25817</w:t>
            </w:r>
            <w:r>
              <w:rPr>
                <w:rFonts w:eastAsia="Times New Roman" w:cs="Times New Roman"/>
                <w:b/>
                <w:bCs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6"/>
                <w:szCs w:val="26"/>
                <w:lang w:val="uk-UA" w:bidi="ar-SA"/>
              </w:rPr>
              <w:t>грн</w:t>
            </w:r>
            <w:r>
              <w:rPr>
                <w:rStyle w:val="csd2c743de"/>
                <w:rFonts w:eastAsia="Times New Roman" w:cs="Times New Roman"/>
                <w:b/>
                <w:bCs/>
                <w:i w:val="false"/>
                <w:iCs w:val="false"/>
                <w:color w:val="000000"/>
                <w:kern w:val="0"/>
                <w:sz w:val="26"/>
                <w:szCs w:val="26"/>
                <w:lang w:val="uk-UA" w:bidi="ar-SA"/>
              </w:rPr>
              <w:t xml:space="preserve">. </w:t>
            </w:r>
            <w:r>
              <w:rPr>
                <w:rStyle w:val="csd2c743de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6"/>
                <w:szCs w:val="26"/>
                <w:lang w:val="uk-UA" w:eastAsia="ru-RU" w:bidi="ar-SA"/>
              </w:rPr>
              <w:t>(згідно штатного розпису)</w:t>
            </w: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6"/>
                <w:szCs w:val="26"/>
                <w:lang w:val="uk-UA" w:bidi="ar-SA"/>
              </w:rPr>
              <w:t xml:space="preserve">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/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6"/>
                <w:szCs w:val="26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15" w:hRule="atLeast"/>
        </w:trPr>
        <w:tc>
          <w:tcPr>
            <w:tcW w:w="349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Інформація про 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чи безстроковість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призначення на посаду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Style17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>
          <w:trHeight w:val="1782" w:hRule="atLeast"/>
        </w:trPr>
        <w:tc>
          <w:tcPr>
            <w:tcW w:w="9452" w:type="dxa"/>
            <w:gridSpan w:val="4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вимогою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до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осіб,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які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на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посаду,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517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300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Освіта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Cs w:val="28"/>
                <w:lang w:val="uk-UA" w:bidi="ar-SA"/>
              </w:rPr>
              <w:t>ступінь вищої освіти – не нижче магістра</w:t>
            </w:r>
            <w:r>
              <w:rPr>
                <w:rFonts w:eastAsia="Times New Roman" w:cs="Times New Roman"/>
                <w:bCs/>
                <w:kern w:val="0"/>
                <w:szCs w:val="24"/>
                <w:lang w:val="uk-UA" w:bidi="ar-SA"/>
              </w:rPr>
              <w:t xml:space="preserve"> або спеціаліста</w:t>
            </w:r>
          </w:p>
        </w:tc>
      </w:tr>
      <w:tr>
        <w:trPr/>
        <w:tc>
          <w:tcPr>
            <w:tcW w:w="517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300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Досвід роботи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28"/>
              <w:rPr>
                <w:bCs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shd w:fill="FFFFFF" w:val="clear"/>
                <w:lang w:val="uk-UA" w:bidi="ar-SA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517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3.</w:t>
            </w:r>
          </w:p>
        </w:tc>
        <w:tc>
          <w:tcPr>
            <w:tcW w:w="300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Володіння державною мовою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вільне володіння державною мовою</w:t>
            </w:r>
          </w:p>
        </w:tc>
      </w:tr>
      <w:tr>
        <w:trPr>
          <w:trHeight w:val="239" w:hRule="atLeast"/>
        </w:trPr>
        <w:tc>
          <w:tcPr>
            <w:tcW w:w="5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893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169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Вимоги до компетентності</w:t>
            </w:r>
          </w:p>
        </w:tc>
      </w:tr>
      <w:tr>
        <w:trPr>
          <w:trHeight w:val="1883" w:hRule="atLeast"/>
        </w:trPr>
        <w:tc>
          <w:tcPr>
            <w:tcW w:w="5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1.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персоналом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стимулювання командної роботи та співробітництва</w:t>
            </w:r>
          </w:p>
        </w:tc>
      </w:tr>
      <w:tr>
        <w:trPr>
          <w:trHeight w:val="2584" w:hRule="atLeast"/>
        </w:trPr>
        <w:tc>
          <w:tcPr>
            <w:tcW w:w="5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2.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Обґрунтування власної позиції та аналітичні здібності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 xml:space="preserve">- 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57"/>
                <w:tab w:val="left" w:pos="36" w:leader="none"/>
                <w:tab w:val="left" w:pos="398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widowControl/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3320" w:hRule="atLeast"/>
        </w:trPr>
        <w:tc>
          <w:tcPr>
            <w:tcW w:w="5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3.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Відповідальність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2775" w:hRule="atLeast"/>
        </w:trPr>
        <w:tc>
          <w:tcPr>
            <w:tcW w:w="5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4.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tabs>
                <w:tab w:val="clear" w:pos="57"/>
                <w:tab w:val="left" w:pos="1903" w:leader="none"/>
              </w:tabs>
              <w:suppressAutoHyphens w:val="true"/>
              <w:spacing w:lineRule="auto" w:line="240" w:before="0" w:after="0"/>
              <w:ind w:hanging="0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Комунікація та взаємодія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  <w:tab w:val="left" w:pos="420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  <w:tab w:val="left" w:pos="353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615" w:hRule="atLeast"/>
        </w:trPr>
        <w:tc>
          <w:tcPr>
            <w:tcW w:w="9452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Професійні знання</w:t>
            </w:r>
          </w:p>
        </w:tc>
      </w:tr>
      <w:tr>
        <w:trPr>
          <w:trHeight w:val="450" w:hRule="atLeast"/>
        </w:trPr>
        <w:tc>
          <w:tcPr>
            <w:tcW w:w="3518" w:type="dxa"/>
            <w:gridSpan w:val="3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Вимога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Компоненти вимоги</w:t>
            </w:r>
          </w:p>
        </w:tc>
      </w:tr>
      <w:tr>
        <w:trPr>
          <w:trHeight w:val="210" w:hRule="atLeast"/>
        </w:trPr>
        <w:tc>
          <w:tcPr>
            <w:tcW w:w="517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300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Знання законодавства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/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Знання: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Конституції України;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Закону України «Про запобігання корупції»;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Закону України «Про державну службу»;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3"/>
              <w:rPr>
                <w:szCs w:val="28"/>
                <w:lang w:val="ru-RU" w:eastAsia="uk-UA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</w:t>
            </w:r>
            <w:r>
              <w:rPr>
                <w:rFonts w:eastAsia="Times New Roman" w:cs="Times New Roman"/>
                <w:kern w:val="0"/>
                <w:szCs w:val="28"/>
                <w:lang w:val="uk-UA" w:eastAsia="uk-UA" w:bidi="ar-SA"/>
              </w:rPr>
              <w:t xml:space="preserve"> Закону України </w:t>
            </w: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«</w:t>
            </w:r>
            <w:r>
              <w:rPr>
                <w:rFonts w:eastAsia="Times New Roman" w:cs="Times New Roman"/>
                <w:kern w:val="0"/>
                <w:szCs w:val="28"/>
                <w:lang w:val="uk-UA" w:eastAsia="uk-UA" w:bidi="ar-SA"/>
              </w:rPr>
              <w:t>Про доступ до публічної інформації</w:t>
            </w: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»;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uk-UA" w:bidi="ar-SA"/>
              </w:rPr>
              <w:t xml:space="preserve">- Закону України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«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uk-UA" w:bidi="ar-SA"/>
              </w:rPr>
              <w:t>Про захист персональних даних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»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uk-UA" w:bidi="ar-SA"/>
              </w:rPr>
              <w:t>.</w:t>
            </w:r>
          </w:p>
        </w:tc>
      </w:tr>
      <w:tr>
        <w:trPr>
          <w:trHeight w:val="958" w:hRule="atLeast"/>
        </w:trPr>
        <w:tc>
          <w:tcPr>
            <w:tcW w:w="517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300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 у сфері</w:t>
            </w:r>
          </w:p>
        </w:tc>
        <w:tc>
          <w:tcPr>
            <w:tcW w:w="5934" w:type="dxa"/>
            <w:tcBorders/>
          </w:tcPr>
          <w:p>
            <w:pPr>
              <w:pStyle w:val="Normal"/>
              <w:ind w:hanging="0"/>
              <w:jc w:val="both"/>
              <w:rPr/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jc w:val="both"/>
              <w:rPr/>
            </w:pPr>
            <w:r>
              <w:rPr>
                <w:szCs w:val="28"/>
              </w:rPr>
              <w:t xml:space="preserve">- </w:t>
            </w:r>
            <w:r>
              <w:rPr/>
              <w:t>Постанова КМУ від 20.03.2022 № 332 “Деякі питання виплати допомоги на проживання внутрішньо переміщеним особам”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-Постанова КМУ від від 02.08.2000 № 1192 „Про надання щомісячної грошової допомоги особі, яка проживає разом з особою з інвалідністю I чи II групи внаслідок психічного розладу, яка за висновком лікарської комісії закладу охорони здоров’я потребує постійного стороннього догляду, на догляд за нею”;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-Закон України від 28.02.1992 № 796 “Про статус і соціальний захист громадян, які постраждали внаслідок Чорнобильської катастрофи”;</w:t>
            </w:r>
          </w:p>
          <w:p>
            <w:pPr>
              <w:pStyle w:val="Normal"/>
              <w:ind w:hanging="0"/>
              <w:jc w:val="both"/>
              <w:rPr/>
            </w:pPr>
            <w:r>
              <w:rPr>
                <w:szCs w:val="28"/>
              </w:rPr>
              <w:t xml:space="preserve">- </w:t>
            </w:r>
            <w:r>
              <w:rPr/>
              <w:t xml:space="preserve">Сімейний кодекс України від 10.01.2002 № 2947-ІІІ </w:t>
            </w:r>
            <w:r>
              <w:rPr>
                <w:szCs w:val="28"/>
              </w:rPr>
              <w:t>;</w:t>
            </w:r>
          </w:p>
          <w:p>
            <w:pPr>
              <w:pStyle w:val="Normal"/>
              <w:ind w:hanging="0"/>
              <w:jc w:val="both"/>
              <w:rPr/>
            </w:pPr>
            <w:r>
              <w:rPr>
                <w:szCs w:val="28"/>
              </w:rPr>
              <w:t>- Постанова КМУ від 22.02.2006 № 189 “Про затвердження Порядку призначення та виплати тимчасової державної допомоги дітям, батьки яких ухиляються від сплати аліментів, не мають можливості утримувати дитину або місце проживання їх невідоме”;</w:t>
            </w:r>
          </w:p>
          <w:p>
            <w:pPr>
              <w:pStyle w:val="Normal"/>
              <w:ind w:hanging="0"/>
              <w:jc w:val="both"/>
              <w:rPr/>
            </w:pPr>
            <w:r>
              <w:rPr>
                <w:szCs w:val="28"/>
              </w:rPr>
              <w:t xml:space="preserve">- </w:t>
            </w:r>
            <w:r>
              <w:rPr/>
              <w:t>Постанова КМУ від від 28.12.2016 № 1045 “Деякі питання виплати соціальних стипендій студентам (курсантам) закладів фахової передвищої та вищої освіти”;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Закон України “Про державну допомогу сім’ям з дітьми” від 21.11.1992 No 2811-ХІІ;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13.03.2019 № 250 “Деякі питання надання соціальної підтримки багатодітним сім'ям”;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24 лютого 2003 р. № 250 “Про затвердження Порядку призначення і виплати державної соціальної допомоги малозабезпеченим сім'ям”;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27.12.2001 № 1751 “Про затвердження Порядку призначення і виплати державної допомоги сім'ям з дітьми”;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Закон України від 13.01.2005 № 2342-IV “Про забезпечення організаційно-правових умов соціального захисту дітей-сиріт та дітей, позбавлених батьківського піклування”;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Постанови КМУ від 26.04.2002 № 564 “Про затвердження Положення про дитячий будинок сімейного типуˮ, від 26.04.2002 № 565 ”Про затвердження Положення про прийомну сім'юˮ, від 26.06.2019 № 552 “Деякі питання виплати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за принципом “гроші ходять за дитиною”, оплати послуг із здійснення патронату над дитиною та виплати соціальної допомоги на утримання дитини в сім’ї патронатного вихователя, підтримки малих групових будинківˮ;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20.08.2021 № 893 “Деякі питання захисту прав дитини та надання послуги патронату над дитиною”;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04.02.2025 № 114 „Деякі питання призначення та виплати грошової компенсації вартості одноразової натуральної допомоги “пакунок малюка”;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22.03.2024 № 331 „Деякі питання провадження діяльності з усиновлення та влаштування дітей-сиріт, дітей, позбавлених батьківського піклування, соціального захисту дітей, залишених без батьківського піклування”;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02.04.2005 № 261 “Про затвердження Порядку призначення і виплати державної соціальної допомоги особам, які не мають права на пенсію, та особам з інвалідністю і державної соціальної допомоги на догляд”</w:t>
            </w:r>
          </w:p>
          <w:p>
            <w:pPr>
              <w:pStyle w:val="Normal"/>
              <w:spacing w:before="0" w:after="0"/>
              <w:ind w:hanging="0" w:left="0"/>
              <w:jc w:val="both"/>
              <w:rPr>
                <w:i w:val="false"/>
                <w:iCs w:val="false"/>
                <w:szCs w:val="28"/>
              </w:rPr>
            </w:pPr>
            <w:r>
              <w:rPr>
                <w:i w:val="false"/>
                <w:iCs w:val="false"/>
                <w:szCs w:val="28"/>
              </w:rPr>
              <w:t>- Закон України «Про загальнообов’язкове державне пенсійне страхування»;</w:t>
            </w:r>
          </w:p>
          <w:p>
            <w:pPr>
              <w:pStyle w:val="rvps6"/>
              <w:spacing w:before="0" w:after="0"/>
              <w:ind w:hanging="0" w:left="0" w:right="0"/>
              <w:jc w:val="both"/>
              <w:rPr/>
            </w:pPr>
            <w:r>
              <w:rPr>
                <w:i w:val="false"/>
                <w:iCs w:val="false"/>
                <w:sz w:val="28"/>
                <w:szCs w:val="28"/>
              </w:rPr>
              <w:t xml:space="preserve">- </w:t>
            </w:r>
            <w:bookmarkStart w:id="0" w:name="n3"/>
            <w:bookmarkEnd w:id="0"/>
            <w:r>
              <w:rPr>
                <w:i w:val="false"/>
                <w:iCs w:val="false"/>
                <w:sz w:val="28"/>
                <w:szCs w:val="28"/>
              </w:rPr>
              <w:t xml:space="preserve"> постанова Кабінету Міністрів України «</w:t>
            </w:r>
            <w:r>
              <w:rPr>
                <w:bCs/>
                <w:i w:val="false"/>
                <w:iCs w:val="false"/>
                <w:sz w:val="28"/>
                <w:szCs w:val="28"/>
              </w:rPr>
              <w:t>Про спрощення порядку надання населенню субсидій для відшкодування витрат на оплату житлово-комунальних послуг, придбання скрапленого газу, твердого та рідкого пічного побутового палива» № 848 від 21.10.1995;</w:t>
            </w:r>
            <w:bookmarkStart w:id="1" w:name="Про_новий_розмір_витрат_на_оплату_житлов"/>
            <w:bookmarkEnd w:id="1"/>
          </w:p>
          <w:p>
            <w:pPr>
              <w:pStyle w:val="rvps6"/>
              <w:spacing w:before="0" w:after="0"/>
              <w:ind w:hanging="0" w:left="0" w:right="0"/>
              <w:jc w:val="both"/>
              <w:rPr/>
            </w:pPr>
            <w:r>
              <w:rPr>
                <w:bCs/>
                <w:i w:val="false"/>
                <w:iCs w:val="false"/>
                <w:sz w:val="28"/>
                <w:szCs w:val="28"/>
              </w:rPr>
              <w:t xml:space="preserve">- </w:t>
            </w:r>
            <w:r>
              <w:rPr>
                <w:i w:val="false"/>
                <w:iCs w:val="false"/>
                <w:sz w:val="28"/>
                <w:szCs w:val="28"/>
              </w:rPr>
              <w:t>постанова Кабінету Міністрів України «</w:t>
            </w:r>
            <w:r>
              <w:rPr>
                <w:bCs/>
                <w:i w:val="false"/>
                <w:iCs w:val="false"/>
                <w:color w:val="000000"/>
                <w:sz w:val="28"/>
                <w:szCs w:val="28"/>
                <w:lang w:val="ru-RU"/>
              </w:rPr>
              <w:t>Про новий розмір витрат на оплату житлово-комунальних послуг, придбання скрапленого газу, твердого та рідкого пічного побутового палива у разі надання житлової субсидії» №</w:t>
            </w:r>
            <w:r>
              <w:rPr>
                <w:bCs/>
                <w:i w:val="false"/>
                <w:iCs w:val="false"/>
                <w:color w:val="000000"/>
                <w:sz w:val="28"/>
                <w:szCs w:val="28"/>
              </w:rPr>
              <w:t>1156 від 27.07.1998;</w:t>
            </w:r>
          </w:p>
          <w:p>
            <w:pPr>
              <w:pStyle w:val="rvps6"/>
              <w:spacing w:before="0" w:after="0"/>
              <w:ind w:hanging="0" w:left="0" w:right="0"/>
              <w:jc w:val="both"/>
              <w:rPr/>
            </w:pPr>
            <w:r>
              <w:rPr>
                <w:bCs/>
                <w:i w:val="false"/>
                <w:iCs w:val="false"/>
                <w:color w:val="000000"/>
                <w:sz w:val="28"/>
                <w:szCs w:val="28"/>
              </w:rPr>
              <w:t xml:space="preserve">- </w:t>
            </w:r>
            <w:r>
              <w:rPr>
                <w:i w:val="false"/>
                <w:iCs w:val="false"/>
                <w:sz w:val="28"/>
                <w:szCs w:val="28"/>
              </w:rPr>
              <w:t>постанова Кабінету Міністрів України «</w:t>
            </w:r>
            <w:r>
              <w:rPr>
                <w:bCs/>
                <w:i w:val="false"/>
                <w:iCs w:val="false"/>
                <w:sz w:val="28"/>
                <w:szCs w:val="28"/>
              </w:rPr>
              <w:t>Про затвердження Положення про Єдиний державний реєстр отримувачів житлових субсидій» № 182 від 14.03.2018;</w:t>
            </w:r>
            <w:bookmarkStart w:id="2" w:name="Деякі_питання_виплати_державної_соціальн"/>
            <w:bookmarkEnd w:id="2"/>
          </w:p>
          <w:p>
            <w:pPr>
              <w:pStyle w:val="rvps6"/>
              <w:spacing w:before="0" w:after="0"/>
              <w:ind w:hanging="0" w:left="0" w:right="0"/>
              <w:jc w:val="both"/>
              <w:rPr/>
            </w:pPr>
            <w:r>
              <w:rPr>
                <w:bCs/>
                <w:i w:val="false"/>
                <w:iCs w:val="false"/>
                <w:color w:val="000000"/>
                <w:sz w:val="28"/>
                <w:szCs w:val="28"/>
              </w:rPr>
              <w:t>-</w:t>
            </w:r>
            <w:r>
              <w:rPr>
                <w:i w:val="false"/>
                <w:iCs w:val="false"/>
                <w:sz w:val="28"/>
                <w:szCs w:val="28"/>
              </w:rPr>
              <w:t xml:space="preserve"> постанова Кабінету Міністрів України «</w:t>
            </w:r>
            <w:r>
              <w:rPr>
                <w:bCs/>
                <w:i w:val="false"/>
                <w:iCs w:val="false"/>
                <w:color w:val="000000"/>
                <w:sz w:val="28"/>
                <w:szCs w:val="28"/>
                <w:lang w:val="ru-RU"/>
              </w:rPr>
              <w:t xml:space="preserve">Деякі питання виплати державної соціальної допомоги» № </w:t>
            </w:r>
            <w:r>
              <w:rPr>
                <w:bCs/>
                <w:i w:val="false"/>
                <w:iCs w:val="false"/>
                <w:sz w:val="28"/>
                <w:szCs w:val="28"/>
              </w:rPr>
              <w:t>632 від 22.07.2020;</w:t>
            </w:r>
          </w:p>
          <w:p>
            <w:pPr>
              <w:pStyle w:val="Normal"/>
              <w:spacing w:lineRule="auto" w:line="240" w:before="0" w:after="0"/>
              <w:ind w:hanging="0" w:left="0"/>
              <w:jc w:val="both"/>
              <w:rPr>
                <w:color w:val="000000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Cs w:val="28"/>
                <w:shd w:fill="FFFFFF" w:val="clear"/>
                <w:lang w:val="uk-UA" w:bidi="ar-SA"/>
              </w:rPr>
              <w:t>- постанова Кабінету Міністрів України «</w:t>
            </w: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olor w:val="000000"/>
                <w:kern w:val="0"/>
                <w:szCs w:val="28"/>
                <w:shd w:fill="FFFFFF" w:val="clear"/>
                <w:lang w:val="uk-UA" w:eastAsia="uk-UA" w:bidi="ar-SA"/>
              </w:rPr>
              <w:t xml:space="preserve">Про встановлення державних соціальних стандартів у сфері житлово-комунального обслуговування»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Cs w:val="28"/>
                <w:shd w:fill="FFFFFF" w:val="clear"/>
                <w:lang w:val="uk-UA" w:bidi="ar-SA"/>
              </w:rPr>
              <w:t>№ 409 від 06.08.2014 та інші.</w:t>
            </w:r>
          </w:p>
        </w:tc>
      </w:tr>
    </w:tbl>
    <w:p>
      <w:pPr>
        <w:pStyle w:val="Style17"/>
        <w:jc w:val="center"/>
        <w:rPr>
          <w:bCs/>
          <w:szCs w:val="28"/>
        </w:rPr>
      </w:pPr>
      <w:r>
        <w:rPr>
          <w:bCs/>
          <w:szCs w:val="28"/>
        </w:rPr>
        <w:t>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1134" w:footer="0" w:bottom="709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81455" cy="173990"/>
              <wp:effectExtent l="0" t="0" r="0" b="0"/>
              <wp:wrapSquare wrapText="bothSides"/>
              <wp:docPr id="2" name="Рам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14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t>6</w: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82.6pt;margin-top:0.05pt;width:116.6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t>6</w: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57"/>
  <w:autoHyphenation w:val="true"/>
  <w:hyphenationZone w:val="0"/>
  <w:compat>
    <w:doNotBreakWrappedTables/>
    <w:compatSetting w:name="compatibilityMode" w:uri="http://schemas.microsoft.com/office/word" w:val="12"/>
  </w:compat>
  <w:docVars>
    <w:docVar w:name="StepHandle" w:val="262696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о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ой текст с отступом 3 Знак"/>
    <w:basedOn w:val="DefaultParagraphFont"/>
    <w:link w:val="BodyTextIndent3"/>
    <w:uiPriority w:val="99"/>
    <w:qFormat/>
    <w:rsid w:val="001f4aca"/>
    <w:rPr>
      <w:rFonts w:eastAsia="Calibri" w:cs="" w:cstheme="minorBidi" w:eastAsiaTheme="minorHAnsi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Style13" w:customStyle="1">
    <w:name w:val="Подзаголовок Знак"/>
    <w:basedOn w:val="DefaultParagraphFont"/>
    <w:uiPriority w:val="99"/>
    <w:qFormat/>
    <w:rsid w:val="00de0c41"/>
    <w:rPr>
      <w:b/>
      <w:sz w:val="28"/>
    </w:rPr>
  </w:style>
  <w:style w:type="character" w:styleId="rvts0" w:customStyle="1">
    <w:name w:val="rvts0"/>
    <w:qFormat/>
    <w:rsid w:val="005a46ff"/>
    <w:rPr>
      <w:rFonts w:cs="Times New Roman"/>
    </w:rPr>
  </w:style>
  <w:style w:type="character" w:styleId="csd2c743de" w:customStyle="1">
    <w:name w:val="csd2c743de"/>
    <w:basedOn w:val="DefaultParagraphFont"/>
    <w:qFormat/>
    <w:rsid w:val="002330a4"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Lucida Sans"/>
    </w:rPr>
  </w:style>
  <w:style w:type="paragraph" w:styleId="user2">
    <w:name w:val="Верхній і нижній колонтитули (user)"/>
    <w:basedOn w:val="Normal"/>
    <w:qFormat/>
    <w:pPr/>
    <w:rPr/>
  </w:style>
  <w:style w:type="paragraph" w:styleId="Style16">
    <w:name w:val="Верхній і нижній колонтитули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1" w:customStyle="1">
    <w:name w:val="Підпис1"/>
    <w:basedOn w:val="Normal"/>
    <w:qFormat/>
    <w:rsid w:val="00a0742f"/>
    <w:pPr>
      <w:keepLines/>
      <w:tabs>
        <w:tab w:val="clear" w:pos="57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 w:cs="" w:cstheme="minorBidi" w:eastAsiaTheme="minorHAns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197d14"/>
    <w:pPr>
      <w:spacing w:before="0" w:after="0"/>
      <w:ind w:left="720"/>
      <w:contextualSpacing/>
    </w:pPr>
    <w:rPr/>
  </w:style>
  <w:style w:type="paragraph" w:styleId="Subtitle">
    <w:name w:val="Subtitle"/>
    <w:basedOn w:val="Normal"/>
    <w:link w:val="Style13"/>
    <w:uiPriority w:val="99"/>
    <w:qFormat/>
    <w:rsid w:val="00de0c41"/>
    <w:pPr>
      <w:spacing w:lineRule="auto" w:line="240"/>
      <w:ind w:hanging="0"/>
      <w:jc w:val="center"/>
    </w:pPr>
    <w:rPr>
      <w:b/>
    </w:rPr>
  </w:style>
  <w:style w:type="paragraph" w:styleId="31" w:customStyle="1">
    <w:name w:val="Основной текст (3)1"/>
    <w:basedOn w:val="Normal"/>
    <w:qFormat/>
    <w:rsid w:val="00c42ed0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fb0aa375" w:customStyle="1">
    <w:name w:val="csfb0aa37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66e64e55" w:customStyle="1">
    <w:name w:val="cs66e64e5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user3">
    <w:name w:val="Вміст рамки (user)"/>
    <w:basedOn w:val="Normal"/>
    <w:qFormat/>
    <w:pPr/>
    <w:rPr/>
  </w:style>
  <w:style w:type="paragraph" w:styleId="Style25">
    <w:name w:val="Вміст рамки"/>
    <w:basedOn w:val="Normal"/>
    <w:qFormat/>
    <w:pPr/>
    <w:rPr/>
  </w:style>
  <w:style w:type="paragraph" w:styleId="Style26">
    <w:name w:val="Вміст таблиці"/>
    <w:basedOn w:val="Normal"/>
    <w:qFormat/>
    <w:pPr>
      <w:widowControl w:val="false"/>
      <w:suppressLineNumbers/>
    </w:pPr>
    <w:rPr/>
  </w:style>
  <w:style w:type="paragraph" w:styleId="Style27">
    <w:name w:val="Заголовок таблиці"/>
    <w:basedOn w:val="Style26"/>
    <w:qFormat/>
    <w:pPr>
      <w:suppressLineNumbers/>
      <w:jc w:val="center"/>
    </w:pPr>
    <w:rPr>
      <w:b/>
      <w:bCs/>
    </w:rPr>
  </w:style>
  <w:style w:type="paragraph" w:styleId="cs7c5251be">
    <w:name w:val="cs7c5251be"/>
    <w:basedOn w:val="Normal"/>
    <w:qFormat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rvps6">
    <w:name w:val="rvps6"/>
    <w:basedOn w:val="Normal"/>
    <w:qFormat/>
    <w:pPr>
      <w:spacing w:lineRule="auto" w:line="240" w:before="240" w:after="360"/>
      <w:ind w:hanging="0" w:left="360" w:right="360"/>
      <w:jc w:val="center"/>
    </w:pPr>
    <w:rPr>
      <w:sz w:val="24"/>
      <w:szCs w:val="24"/>
      <w:lang w:eastAsia="uk-UA"/>
    </w:rPr>
  </w:style>
  <w:style w:type="numbering" w:styleId="user4" w:default="1">
    <w:name w:val="Без маркерів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99B6B-F138-4707-A219-BBA6839F4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Application>LibreOffice/26.2.0.3$Windows_X86_64 LibreOffice_project/620$Build-3</Application>
  <AppVersion>15.0000</AppVersion>
  <Pages>6</Pages>
  <Words>1258</Words>
  <Characters>8388</Characters>
  <CharactersWithSpaces>9542</CharactersWithSpaces>
  <Paragraphs>101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2022-08-29T05:54:00Z</dcterms:created>
  <dc:creator>1-1</dc:creator>
  <dc:description/>
  <dc:language>uk-UA</dc:language>
  <cp:lastModifiedBy/>
  <cp:lastPrinted>2020-07-03T08:18:00Z</cp:lastPrinted>
  <dcterms:modified xsi:type="dcterms:W3CDTF">2026-08-17T14:28:25Z</dcterms:modified>
  <cp:revision>33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