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szCs w:val="28"/>
        </w:rPr>
      </w:r>
    </w:p>
    <w:p>
      <w:pPr>
        <w:pStyle w:val="Normal"/>
        <w:ind w:hanging="0"/>
        <w:jc w:val="center"/>
        <w:rPr>
          <w:bCs/>
          <w:szCs w:val="28"/>
        </w:rPr>
      </w:pPr>
      <w:r>
        <w:rPr>
          <w:bCs/>
          <w:szCs w:val="28"/>
        </w:rPr>
        <w:t>Умови</w:t>
      </w:r>
    </w:p>
    <w:p>
      <w:pPr>
        <w:pStyle w:val="Normal"/>
        <w:ind w:hanging="0"/>
        <w:jc w:val="center"/>
        <w:rPr>
          <w:bCs/>
          <w:szCs w:val="28"/>
        </w:rPr>
      </w:pPr>
      <w:r>
        <w:rPr>
          <w:bCs/>
          <w:szCs w:val="28"/>
        </w:rPr>
        <w:t>проведення добору</w:t>
      </w:r>
    </w:p>
    <w:p>
      <w:pPr>
        <w:pStyle w:val="Normal"/>
        <w:ind w:hanging="0"/>
        <w:jc w:val="center"/>
        <w:rPr>
          <w:bCs/>
          <w:szCs w:val="28"/>
        </w:rPr>
      </w:pPr>
      <w:r>
        <w:rPr>
          <w:bCs/>
          <w:szCs w:val="28"/>
        </w:rPr>
        <w:t xml:space="preserve">на зайняття посад державної служби категорії «Б» </w:t>
      </w:r>
      <w:r>
        <w:rPr>
          <w:color w:val="000000"/>
          <w:szCs w:val="28"/>
        </w:rPr>
        <w:t xml:space="preserve">- </w:t>
      </w:r>
      <w:r>
        <w:rPr>
          <w:bCs/>
        </w:rPr>
        <w:t xml:space="preserve">начальник відділу представництва інтересів в судах та інших органах № 2 юридичного управління, </w:t>
      </w:r>
      <w:r>
        <w:rPr/>
        <w:t>(вул. Волоська, 36/38)</w:t>
      </w:r>
    </w:p>
    <w:p>
      <w:pPr>
        <w:pStyle w:val="Normal"/>
        <w:ind w:hanging="0"/>
        <w:jc w:val="center"/>
        <w:rPr>
          <w:bCs/>
          <w:szCs w:val="28"/>
        </w:rPr>
      </w:pPr>
      <w:r>
        <w:rPr>
          <w:bCs/>
          <w:szCs w:val="28"/>
        </w:rPr>
      </w:r>
    </w:p>
    <w:tbl>
      <w:tblPr>
        <w:tblStyle w:val="afe"/>
        <w:tblW w:w="9452" w:type="dxa"/>
        <w:jc w:val="left"/>
        <w:tblInd w:w="267" w:type="dxa"/>
        <w:tblLayout w:type="fixed"/>
        <w:tblCellMar>
          <w:top w:w="0" w:type="dxa"/>
          <w:left w:w="108" w:type="dxa"/>
          <w:bottom w:w="0" w:type="dxa"/>
          <w:right w:w="108" w:type="dxa"/>
        </w:tblCellMar>
        <w:tblLook w:firstRow="1" w:noVBand="1" w:lastRow="0" w:firstColumn="1" w:lastColumn="0" w:noHBand="0" w:val="04a0"/>
      </w:tblPr>
      <w:tblGrid>
        <w:gridCol w:w="517"/>
        <w:gridCol w:w="2978"/>
        <w:gridCol w:w="23"/>
        <w:gridCol w:w="5934"/>
      </w:tblGrid>
      <w:tr>
        <w:trPr/>
        <w:tc>
          <w:tcPr>
            <w:tcW w:w="9452" w:type="dxa"/>
            <w:gridSpan w:val="4"/>
            <w:tcBorders/>
          </w:tcPr>
          <w:p>
            <w:pPr>
              <w:pStyle w:val="Normal"/>
              <w:widowControl/>
              <w:suppressAutoHyphens w:val="true"/>
              <w:spacing w:lineRule="auto" w:line="240" w:before="0" w:after="0"/>
              <w:ind w:firstLine="181"/>
              <w:jc w:val="center"/>
              <w:rPr>
                <w:b/>
                <w:bCs/>
              </w:rPr>
            </w:pPr>
            <w:r>
              <w:rPr>
                <w:rFonts w:eastAsia="Times New Roman" w:cs="Times New Roman"/>
                <w:b/>
                <w:bCs/>
                <w:kern w:val="0"/>
                <w:szCs w:val="24"/>
                <w:lang w:val="uk-UA" w:bidi="ar-SA"/>
              </w:rPr>
              <w:t>Загальні умови</w:t>
            </w:r>
          </w:p>
        </w:tc>
      </w:tr>
      <w:tr>
        <w:trPr>
          <w:trHeight w:val="3109" w:hRule="atLeast"/>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Посадові обов’язки</w:t>
            </w:r>
          </w:p>
        </w:tc>
        <w:tc>
          <w:tcPr>
            <w:tcW w:w="5957" w:type="dxa"/>
            <w:gridSpan w:val="2"/>
            <w:tcBorders/>
          </w:tcPr>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Забезпечення виконання функцій (представлення) захисту інтересів в судах та інших органах під час розгляду правових питань і спорів, організації та ведення позовної роботи, здійснення контролю за її проведенням. Аналіз наслідків розгляду судових справ, внесення керівнику пропозицій щодо удосконалення правового забезпечення, організація взаємодії з правоохоронними органами, органами державної виконавчої служби та іншими державними органами.</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Узгодження підготовлених проєктів документів, що подаються до судових органів, та в порядку, передбаченому законодавством, участь в судових засіданнях, в т.ч. у разі розгляду в апеляційній та касаційній інстанціях справ, однією з сторін в яких є, відповідно, Головне управління, забезпечення формування судових матеріалів в окремі справи та їх укомплектування процесуальними документами, в тому числі рішеннями судів, іншими матеріалами, що стосуються справи та забезпечення зберігання відповідних матеріалів.</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Організація здійснення моніторингу стану розгляду в судах справ, підготовка та направлення юридичних висновків до відповідних структурних підрозділів про набрання законної сили судовими рішеннями про покладення зобов’язань з питань пенсійного забезпечення, а також про їх звернення до негайного виконання, надання правової допомоги, щодо повного фактичного виконання судових рішень, які набрали законної сили.</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Участь та забезпечення взаємодії з правоохоронними органами, органами державної виконавчої служби та іншими державними органами. Проведення аналізу матеріалів, що надійшли від правоохоронних і контролюючих органів, результатів позовної роботи, відомостей, що обробляються в інформаційних системах, реєстрах, базах даних інформаційно-телекомунікаційної системи Фонду, за результатами перевірок, інвентаризацій тощо, що характеризують стан законності в діяльності, розроблення пропозиції щодо усунення недоліків, внесення їх на розгляд начальнику Управління та/або керівництву.</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Координація взаємодії із структурними підрозділами, які забезпечують виконання судових рішень, шляхом надання правової, методичної допомоги та висновків, оцінювання доказів виконання судових рішень, участі у листуванні з державними виконавцями у межах виконавчого провадження та з іншими державними органами, підприємствами установами організаціями та громадянами.</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В межах своєї компетенції розгляд листів, звернень, скарг, інших документів з питань віднесених до компетенції відділу № 2 та здійснення візування проектів відповідей на них.</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 xml:space="preserve"> </w:t>
            </w:r>
            <w:r>
              <w:rPr>
                <w:rFonts w:eastAsia="Times New Roman" w:cs="Times New Roman"/>
                <w:color w:val="000000"/>
                <w:kern w:val="0"/>
                <w:szCs w:val="20"/>
                <w:lang w:val="uk-UA" w:bidi="ar-SA"/>
              </w:rPr>
              <w:t>Організація роботи щодо внесення  відомостей  про стан розгляду судами справ за участю Головного управління та стан виконання Головним управлінням рішень судів про стягнення коштів (крім пенсій) та зобов’язання вчинити дії, не пов’язані з пенсійним забезпеченням, до підсистем “Правова робота” та “Реєстр судових рішень” ІКІС ПФУ в справах, що віднесені до компетенції відділу.</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Здійснення контролю за невідкладним повідомленням відповідних структурних підрозділів про набрання законної сили судовими рішеннями, що перебували в провадженні відділу, про покладення зобов’язань або стягнення коштів з Головного управління, та надання правової допомоги щодо повного фактичного виконання судових рішень.</w:t>
            </w:r>
          </w:p>
          <w:p>
            <w:pPr>
              <w:pStyle w:val="Normal"/>
              <w:widowControl/>
              <w:numPr>
                <w:ilvl w:val="0"/>
                <w:numId w:val="2"/>
              </w:numPr>
              <w:tabs>
                <w:tab w:val="clear" w:pos="57"/>
                <w:tab w:val="left" w:pos="65" w:leader="none"/>
              </w:tabs>
              <w:suppressAutoHyphens w:val="true"/>
              <w:spacing w:lineRule="auto" w:line="240" w:before="0" w:after="0"/>
              <w:ind w:hanging="0" w:left="-5"/>
              <w:rPr>
                <w:color w:val="000000"/>
              </w:rPr>
            </w:pPr>
            <w:r>
              <w:rPr>
                <w:rFonts w:eastAsia="Times New Roman" w:cs="Times New Roman"/>
                <w:color w:val="000000"/>
                <w:kern w:val="0"/>
                <w:szCs w:val="20"/>
                <w:lang w:val="uk-UA" w:bidi="ar-SA"/>
              </w:rPr>
              <w:t>Звітування про результати своєї роботи перед керівництвом Головного управління, начальником (заступником начальника)  юридичного управління.</w:t>
            </w:r>
          </w:p>
          <w:p>
            <w:pPr>
              <w:pStyle w:val="Normal"/>
              <w:widowControl/>
              <w:suppressAutoHyphens w:val="true"/>
              <w:spacing w:lineRule="auto" w:line="240" w:before="0" w:after="0"/>
              <w:ind w:hanging="0"/>
              <w:rPr>
                <w:rFonts w:ascii="Times New Roman" w:hAnsi="Times New Roman" w:eastAsia="Times New Roman" w:cs="Times New Roman"/>
                <w:kern w:val="0"/>
                <w:szCs w:val="20"/>
                <w:lang w:val="uk-UA" w:bidi="ar-SA"/>
              </w:rPr>
            </w:pPr>
            <w:r>
              <w:rPr>
                <w:rFonts w:eastAsia="Times New Roman" w:cs="Times New Roman"/>
                <w:color w:val="000000"/>
                <w:kern w:val="0"/>
                <w:szCs w:val="20"/>
                <w:lang w:val="uk-UA" w:bidi="ar-SA"/>
              </w:rPr>
              <w:t>В порядку, визначеному положенням про юридичне управління Головного управління, та на підставі рішення начальника Головного управління, заміщення керівних працівників юридичного управління у разі їх відсутності.</w:t>
            </w:r>
          </w:p>
        </w:tc>
      </w:tr>
      <w:tr>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Умови оплати праці</w:t>
            </w:r>
          </w:p>
        </w:tc>
        <w:tc>
          <w:tcPr>
            <w:tcW w:w="5957" w:type="dxa"/>
            <w:gridSpan w:val="2"/>
            <w:tcBorders/>
            <w:vAlign w:val="center"/>
          </w:tcPr>
          <w:p>
            <w:pPr>
              <w:pStyle w:val="Normal"/>
              <w:widowControl/>
              <w:suppressAutoHyphens w:val="true"/>
              <w:spacing w:lineRule="auto" w:line="240" w:before="0" w:after="0"/>
              <w:ind w:hanging="0"/>
              <w:rPr>
                <w:bCs/>
                <w:szCs w:val="28"/>
              </w:rPr>
            </w:pPr>
            <w:r>
              <w:rPr>
                <w:rFonts w:eastAsia="Times New Roman" w:cs="Times New Roman"/>
                <w:bCs/>
                <w:kern w:val="0"/>
                <w:szCs w:val="28"/>
                <w:lang w:val="uk-UA" w:bidi="ar-SA"/>
              </w:rPr>
              <w:t>Посадовий оклад – 27034</w:t>
            </w:r>
            <w:r>
              <w:rPr>
                <w:rFonts w:eastAsia="Times New Roman" w:cs="Times New Roman"/>
                <w:bCs/>
                <w:color w:val="FF0000"/>
                <w:kern w:val="0"/>
                <w:szCs w:val="28"/>
                <w:lang w:val="uk-UA" w:bidi="ar-SA"/>
              </w:rPr>
              <w:t xml:space="preserve"> </w:t>
            </w:r>
            <w:r>
              <w:rPr>
                <w:rStyle w:val="csd2c743de"/>
                <w:rFonts w:eastAsia="Times New Roman" w:cs="Times New Roman"/>
                <w:bCs/>
                <w:color w:themeColor="text1" w:val="000000"/>
                <w:kern w:val="0"/>
                <w:szCs w:val="28"/>
                <w:lang w:val="uk-UA" w:bidi="ar-SA"/>
              </w:rPr>
              <w:t>грн.</w:t>
            </w:r>
            <w:r>
              <w:rPr>
                <w:rStyle w:val="csd2c743de"/>
                <w:rFonts w:eastAsia="Times New Roman" w:cs="Times New Roman"/>
                <w:b/>
                <w:bCs/>
                <w:color w:themeColor="text1" w:val="000000"/>
                <w:kern w:val="0"/>
                <w:szCs w:val="28"/>
                <w:lang w:val="uk-UA" w:bidi="ar-SA"/>
              </w:rPr>
              <w:t xml:space="preserve"> </w:t>
            </w:r>
            <w:r>
              <w:rPr>
                <w:rStyle w:val="csd2c743de"/>
                <w:rFonts w:eastAsia="Times New Roman" w:cs="Times New Roman"/>
                <w:color w:themeColor="text1" w:val="000000"/>
                <w:kern w:val="0"/>
                <w:szCs w:val="28"/>
                <w:lang w:val="uk-UA" w:bidi="ar-SA"/>
              </w:rPr>
              <w:t>(згідно штатного розпису)</w:t>
            </w:r>
            <w:r>
              <w:rPr>
                <w:rStyle w:val="csd2c743de"/>
                <w:rFonts w:eastAsia="Times New Roman" w:cs="Times New Roman"/>
                <w:bCs/>
                <w:color w:val="000000"/>
                <w:kern w:val="0"/>
                <w:szCs w:val="28"/>
                <w:lang w:val="uk-UA" w:bidi="ar-SA"/>
              </w:rPr>
              <w:t xml:space="preserve">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widowControl/>
              <w:suppressAutoHyphens w:val="true"/>
              <w:spacing w:lineRule="auto" w:line="240" w:before="0" w:after="0"/>
              <w:ind w:hanging="0"/>
              <w:rPr>
                <w:bCs/>
                <w:szCs w:val="24"/>
              </w:rPr>
            </w:pPr>
            <w:r>
              <w:rPr>
                <w:rStyle w:val="csd2c743de"/>
                <w:rFonts w:eastAsia="Times New Roman" w:cs="Times New Roman"/>
                <w:bCs/>
                <w:color w:val="000000"/>
                <w:kern w:val="0"/>
                <w:szCs w:val="28"/>
                <w:lang w:val="uk-UA" w:bidi="ar-SA"/>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2415" w:hRule="atLeast"/>
        </w:trPr>
        <w:tc>
          <w:tcPr>
            <w:tcW w:w="3495"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Інформація про строковість</w:t>
            </w:r>
          </w:p>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чи безстроковість</w:t>
            </w:r>
          </w:p>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призначення на посаду</w:t>
            </w:r>
          </w:p>
        </w:tc>
        <w:tc>
          <w:tcPr>
            <w:tcW w:w="5957" w:type="dxa"/>
            <w:gridSpan w:val="2"/>
            <w:tcBorders/>
          </w:tcPr>
          <w:p>
            <w:pPr>
              <w:pStyle w:val="Style17"/>
              <w:widowControl/>
              <w:suppressAutoHyphens w:val="true"/>
              <w:spacing w:lineRule="auto" w:line="240" w:before="0" w:after="0"/>
              <w:ind w:hanging="0"/>
              <w:rPr>
                <w:bCs/>
                <w:szCs w:val="28"/>
              </w:rPr>
            </w:pPr>
            <w:r>
              <w:rPr>
                <w:rFonts w:eastAsia="Times New Roman" w:cs="Times New Roman"/>
                <w:kern w:val="0"/>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82" w:hRule="atLeast"/>
        </w:trPr>
        <w:tc>
          <w:tcPr>
            <w:tcW w:w="9452" w:type="dxa"/>
            <w:gridSpan w:val="4"/>
            <w:tcBorders/>
          </w:tcPr>
          <w:p>
            <w:pPr>
              <w:pStyle w:val="Default"/>
              <w:widowControl/>
              <w:suppressAutoHyphens w:val="true"/>
              <w:spacing w:before="0" w:after="0"/>
              <w:jc w:val="center"/>
              <w:rPr>
                <w:b/>
                <w:bCs/>
                <w:color w:val="auto"/>
                <w:sz w:val="28"/>
                <w:lang w:eastAsia="ru-RU"/>
              </w:rPr>
            </w:pPr>
            <w:r>
              <w:rPr>
                <w:rFonts w:eastAsia="Times New Roman" w:cs="Times New Roman"/>
                <w:b/>
                <w:bCs/>
                <w:color w:val="auto"/>
                <w:kern w:val="0"/>
                <w:sz w:val="28"/>
                <w:lang w:val="uk-UA" w:eastAsia="ru-RU" w:bidi="ar-SA"/>
              </w:rPr>
              <w:t>Кваліфікаційні вимоги</w:t>
            </w:r>
          </w:p>
          <w:p>
            <w:pPr>
              <w:pStyle w:val="Normal"/>
              <w:widowControl/>
              <w:suppressAutoHyphens w:val="true"/>
              <w:spacing w:lineRule="auto" w:line="240" w:before="0" w:after="0"/>
              <w:ind w:hanging="0" w:right="101"/>
              <w:rPr>
                <w:b/>
                <w:bCs/>
                <w:i/>
                <w:iCs/>
              </w:rPr>
            </w:pPr>
            <w:r>
              <w:rPr>
                <w:b/>
                <w:bCs/>
                <w:i/>
                <w:iCs/>
              </w:rPr>
            </w:r>
          </w:p>
          <w:p>
            <w:pPr>
              <w:pStyle w:val="Normal"/>
              <w:widowControl/>
              <w:suppressAutoHyphens w:val="true"/>
              <w:spacing w:lineRule="auto" w:line="240" w:before="0" w:after="0"/>
              <w:ind w:hanging="0" w:right="101"/>
              <w:jc w:val="center"/>
              <w:rPr>
                <w:b/>
                <w:bCs/>
                <w:i/>
                <w:iCs/>
              </w:rPr>
            </w:pPr>
            <w:r>
              <w:rPr>
                <w:rFonts w:eastAsia="Times New Roman" w:cs="Times New Roman"/>
                <w:b/>
                <w:bCs/>
                <w:i/>
                <w:iCs/>
                <w:kern w:val="0"/>
                <w:szCs w:val="20"/>
                <w:lang w:val="uk-UA" w:bidi="ar-SA"/>
              </w:rPr>
              <w:t>Обов’язковою</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вимогою</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до</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осіб,</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які</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претендують</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на</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посаду,</w:t>
            </w:r>
            <w:r>
              <w:rPr>
                <w:rFonts w:eastAsia="Times New Roman" w:cs="Times New Roman"/>
                <w:b/>
                <w:bCs/>
                <w:i/>
                <w:iCs/>
                <w:spacing w:val="80"/>
                <w:kern w:val="0"/>
                <w:szCs w:val="20"/>
                <w:lang w:val="uk-UA" w:bidi="ar-SA"/>
              </w:rPr>
              <w:t xml:space="preserve"> </w:t>
            </w:r>
            <w:r>
              <w:rPr>
                <w:rFonts w:eastAsia="Times New Roman" w:cs="Times New Roman"/>
                <w:b/>
                <w:bCs/>
                <w:i/>
                <w:iCs/>
                <w:kern w:val="0"/>
                <w:szCs w:val="20"/>
                <w:lang w:val="uk-UA" w:bidi="ar-SA"/>
              </w:rPr>
              <w:t>є наявність</w:t>
            </w:r>
            <w:r>
              <w:rPr>
                <w:rFonts w:eastAsia="Times New Roman" w:cs="Times New Roman"/>
                <w:b/>
                <w:bCs/>
                <w:i/>
                <w:iCs/>
                <w:spacing w:val="-1"/>
                <w:kern w:val="0"/>
                <w:szCs w:val="20"/>
                <w:lang w:val="uk-UA" w:bidi="ar-SA"/>
              </w:rPr>
              <w:t xml:space="preserve"> </w:t>
            </w:r>
            <w:r>
              <w:rPr>
                <w:rFonts w:eastAsia="Times New Roman" w:cs="Times New Roman"/>
                <w:b/>
                <w:bCs/>
                <w:i/>
                <w:iCs/>
                <w:kern w:val="0"/>
                <w:szCs w:val="20"/>
                <w:lang w:val="uk-UA" w:bidi="ar-SA"/>
              </w:rPr>
              <w:t xml:space="preserve">громадянства України та відсутність громадянства інших </w:t>
            </w:r>
            <w:r>
              <w:rPr>
                <w:rFonts w:eastAsia="Times New Roman" w:cs="Times New Roman"/>
                <w:b/>
                <w:bCs/>
                <w:i/>
                <w:iCs/>
                <w:spacing w:val="-2"/>
                <w:kern w:val="0"/>
                <w:szCs w:val="20"/>
                <w:lang w:val="uk-UA" w:bidi="ar-SA"/>
              </w:rPr>
              <w:t>держав.</w:t>
            </w:r>
          </w:p>
        </w:tc>
      </w:tr>
      <w:tr>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Освіта</w:t>
            </w:r>
          </w:p>
        </w:tc>
        <w:tc>
          <w:tcPr>
            <w:tcW w:w="5934" w:type="dxa"/>
            <w:tcBorders/>
            <w:vAlign w:val="center"/>
          </w:tcPr>
          <w:p>
            <w:pPr>
              <w:pStyle w:val="Normal"/>
              <w:widowControl/>
              <w:suppressAutoHyphens w:val="true"/>
              <w:spacing w:lineRule="auto" w:line="240" w:before="0" w:after="0"/>
              <w:ind w:hanging="0"/>
              <w:rPr>
                <w:bCs/>
                <w:szCs w:val="24"/>
              </w:rPr>
            </w:pPr>
            <w:r>
              <w:rPr>
                <w:rFonts w:eastAsia="Times New Roman" w:cs="Times New Roman"/>
                <w:bCs/>
                <w:kern w:val="0"/>
                <w:szCs w:val="28"/>
                <w:lang w:val="uk-UA" w:bidi="ar-SA"/>
              </w:rPr>
              <w:t>ступінь вищої освіти – не нижче магістра</w:t>
            </w:r>
            <w:r>
              <w:rPr>
                <w:rFonts w:eastAsia="Times New Roman" w:cs="Times New Roman"/>
                <w:bCs/>
                <w:kern w:val="0"/>
                <w:szCs w:val="24"/>
                <w:lang w:val="uk-UA" w:bidi="ar-SA"/>
              </w:rPr>
              <w:t xml:space="preserve"> або спеціаліста</w:t>
            </w:r>
            <w:r>
              <w:rPr>
                <w:rFonts w:eastAsia="Times New Roman" w:cs="Times New Roman"/>
                <w:color w:val="000000"/>
                <w:kern w:val="0"/>
                <w:szCs w:val="28"/>
                <w:lang w:val="uk-UA" w:bidi="ar-SA"/>
              </w:rPr>
              <w:t xml:space="preserve"> у галузі знань «Право»</w:t>
            </w:r>
          </w:p>
        </w:tc>
      </w:tr>
      <w:tr>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Досвід роботи</w:t>
            </w:r>
          </w:p>
        </w:tc>
        <w:tc>
          <w:tcPr>
            <w:tcW w:w="5934" w:type="dxa"/>
            <w:tcBorders/>
          </w:tcPr>
          <w:p>
            <w:pPr>
              <w:pStyle w:val="Normal"/>
              <w:widowControl/>
              <w:suppressAutoHyphens w:val="true"/>
              <w:spacing w:lineRule="auto" w:line="240" w:before="0" w:after="0"/>
              <w:ind w:hanging="0" w:left="28"/>
              <w:rPr>
                <w:bCs/>
                <w:szCs w:val="24"/>
              </w:rPr>
            </w:pPr>
            <w:r>
              <w:rPr>
                <w:rFonts w:eastAsia="Times New Roman" w:cs="Times New Roman"/>
                <w:color w:val="000000"/>
                <w:kern w:val="0"/>
                <w:szCs w:val="20"/>
                <w:shd w:fill="FFFFFF" w:val="clear"/>
                <w:lang w:val="uk-UA" w:bidi="ar-SA"/>
              </w:rPr>
              <w:t>Досвід роботи на посадах державної служби категорій «Б» чи «В» або досвід служби в органах місцевого самоврядування, або досвід роботи на керівних посадах підприємств, установ та організацій незалежно від форми власності не менше двох років.</w:t>
            </w:r>
          </w:p>
        </w:tc>
      </w:tr>
      <w:tr>
        <w:trPr>
          <w:trHeight w:val="495"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3.</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Володіння державною мовою</w:t>
            </w:r>
          </w:p>
        </w:tc>
        <w:tc>
          <w:tcPr>
            <w:tcW w:w="5934" w:type="dxa"/>
            <w:tcBorders/>
          </w:tcPr>
          <w:p>
            <w:pPr>
              <w:pStyle w:val="Normal"/>
              <w:widowControl/>
              <w:suppressAutoHyphens w:val="true"/>
              <w:spacing w:lineRule="auto" w:line="240" w:before="0" w:after="0"/>
              <w:ind w:hanging="0"/>
              <w:rPr>
                <w:bCs/>
                <w:szCs w:val="24"/>
              </w:rPr>
            </w:pPr>
            <w:r>
              <w:rPr>
                <w:rFonts w:eastAsia="Times New Roman" w:cs="Times New Roman"/>
                <w:kern w:val="0"/>
                <w:szCs w:val="24"/>
                <w:lang w:val="uk-UA" w:bidi="ar-SA"/>
              </w:rPr>
              <w:t>вільне володіння державною мовою</w:t>
            </w:r>
          </w:p>
        </w:tc>
      </w:tr>
      <w:tr>
        <w:trPr>
          <w:trHeight w:val="239" w:hRule="atLeast"/>
        </w:trPr>
        <w:tc>
          <w:tcPr>
            <w:tcW w:w="517" w:type="dxa"/>
            <w:tcBorders/>
          </w:tcPr>
          <w:p>
            <w:pPr>
              <w:pStyle w:val="Normal"/>
              <w:widowControl/>
              <w:suppressAutoHyphens w:val="true"/>
              <w:spacing w:before="0" w:after="0"/>
              <w:ind w:hanging="0"/>
              <w:jc w:val="center"/>
              <w:rPr>
                <w:b/>
                <w:szCs w:val="24"/>
              </w:rPr>
            </w:pPr>
            <w:r>
              <w:rPr>
                <w:b/>
                <w:szCs w:val="24"/>
              </w:rPr>
            </w:r>
          </w:p>
        </w:tc>
        <w:tc>
          <w:tcPr>
            <w:tcW w:w="8935" w:type="dxa"/>
            <w:gridSpan w:val="3"/>
            <w:tcBorders/>
          </w:tcPr>
          <w:p>
            <w:pPr>
              <w:pStyle w:val="Normal"/>
              <w:widowControl/>
              <w:suppressAutoHyphens w:val="true"/>
              <w:spacing w:before="0" w:after="0"/>
              <w:ind w:hanging="0" w:left="169"/>
              <w:jc w:val="center"/>
              <w:rPr>
                <w:b/>
                <w:szCs w:val="24"/>
              </w:rPr>
            </w:pPr>
            <w:r>
              <w:rPr>
                <w:rFonts w:eastAsia="Times New Roman" w:cs="Times New Roman"/>
                <w:b/>
                <w:kern w:val="0"/>
                <w:szCs w:val="24"/>
                <w:lang w:val="uk-UA" w:bidi="ar-SA"/>
              </w:rPr>
              <w:t>Вимоги до компетентності</w:t>
            </w:r>
          </w:p>
        </w:tc>
      </w:tr>
      <w:tr>
        <w:trPr>
          <w:trHeight w:val="1883"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1.</w:t>
            </w:r>
          </w:p>
        </w:tc>
        <w:tc>
          <w:tcPr>
            <w:tcW w:w="2978" w:type="dxa"/>
            <w:tcBorders/>
          </w:tcPr>
          <w:p>
            <w:pPr>
              <w:pStyle w:val="Normal"/>
              <w:widowControl w:val="false"/>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Управління персоналом</w:t>
            </w:r>
          </w:p>
        </w:tc>
        <w:tc>
          <w:tcPr>
            <w:tcW w:w="5957" w:type="dxa"/>
            <w:gridSpan w:val="2"/>
            <w:tcBorders/>
          </w:tcPr>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делегування та управління результатами;</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управління мотивацією;</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наставництво та розвиток талантів;</w:t>
            </w:r>
          </w:p>
          <w:p>
            <w:pPr>
              <w:pStyle w:val="Normal"/>
              <w:widowControl w:val="false"/>
              <w:numPr>
                <w:ilvl w:val="0"/>
                <w:numId w:val="1"/>
              </w:numPr>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стимулювання командної роботи та співробітництва</w:t>
            </w:r>
          </w:p>
        </w:tc>
      </w:tr>
      <w:tr>
        <w:trPr>
          <w:trHeight w:val="2584"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2.</w:t>
            </w:r>
          </w:p>
        </w:tc>
        <w:tc>
          <w:tcPr>
            <w:tcW w:w="2978" w:type="dxa"/>
            <w:tcBorders/>
          </w:tcPr>
          <w:p>
            <w:pPr>
              <w:pStyle w:val="Normal"/>
              <w:widowControl/>
              <w:suppressAutoHyphens w:val="true"/>
              <w:spacing w:before="0" w:after="0"/>
              <w:ind w:hanging="0"/>
              <w:rPr>
                <w:szCs w:val="28"/>
              </w:rPr>
            </w:pPr>
            <w:r>
              <w:rPr>
                <w:rFonts w:eastAsia="Times New Roman" w:cs="Times New Roman"/>
                <w:color w:val="000000"/>
                <w:kern w:val="0"/>
                <w:szCs w:val="28"/>
                <w:lang w:val="uk-UA" w:bidi="ar-SA"/>
              </w:rPr>
              <w:t>Обґрунтування власної позиції та аналітичні здібності</w:t>
            </w:r>
          </w:p>
        </w:tc>
        <w:tc>
          <w:tcPr>
            <w:tcW w:w="5957" w:type="dxa"/>
            <w:gridSpan w:val="2"/>
            <w:tcBorders/>
          </w:tcPr>
          <w:p>
            <w:pPr>
              <w:pStyle w:val="Normal"/>
              <w:widowControl w:val="false"/>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kern w:val="0"/>
                <w:szCs w:val="28"/>
                <w:lang w:val="uk-UA" w:bidi="ar-SA"/>
              </w:rPr>
              <w:t xml:space="preserve">- </w:t>
            </w:r>
            <w:r>
              <w:rPr>
                <w:rFonts w:eastAsia="Times New Roman" w:cs="Times New Roman"/>
                <w:color w:val="000000"/>
                <w:kern w:val="0"/>
                <w:szCs w:val="28"/>
                <w:lang w:val="uk-UA" w:bidi="ar-SA"/>
              </w:rPr>
              <w:t>чітке і точне формулювання мети, цілей і завдань службової діяльності;</w:t>
            </w:r>
          </w:p>
          <w:p>
            <w:pPr>
              <w:pStyle w:val="Normal"/>
              <w:widowControl w:val="false"/>
              <w:tabs>
                <w:tab w:val="clear" w:pos="57"/>
                <w:tab w:val="left" w:pos="36" w:leader="none"/>
                <w:tab w:val="left" w:pos="398"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 комплексний підхід до виконання завдань, виявлення ризиків;</w:t>
            </w:r>
          </w:p>
          <w:p>
            <w:pPr>
              <w:pStyle w:val="ListParagraph"/>
              <w:widowControl/>
              <w:tabs>
                <w:tab w:val="clear" w:pos="57"/>
                <w:tab w:val="left" w:pos="36" w:leader="none"/>
              </w:tabs>
              <w:suppressAutoHyphens w:val="true"/>
              <w:spacing w:lineRule="auto" w:line="240" w:before="0" w:after="0"/>
              <w:ind w:hanging="0" w:left="36" w:right="34"/>
              <w:contextualSpacing/>
              <w:rPr>
                <w:szCs w:val="28"/>
              </w:rPr>
            </w:pPr>
            <w:r>
              <w:rPr>
                <w:rFonts w:eastAsia="Times New Roman" w:cs="Times New Roman"/>
                <w:color w:val="000000"/>
                <w:kern w:val="0"/>
                <w:szCs w:val="28"/>
                <w:lang w:val="uk-UA" w:bidi="ar-SA"/>
              </w:rPr>
              <w:t>- розуміння змісту завдання і його кінцевих результатів, самостійне визначення можливих шляхів досягнення</w:t>
            </w:r>
          </w:p>
        </w:tc>
      </w:tr>
      <w:tr>
        <w:trPr>
          <w:trHeight w:val="3320"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3.</w:t>
            </w:r>
          </w:p>
        </w:tc>
        <w:tc>
          <w:tcPr>
            <w:tcW w:w="2978" w:type="dxa"/>
            <w:tcBorders/>
          </w:tcPr>
          <w:p>
            <w:pPr>
              <w:pStyle w:val="Normal"/>
              <w:widowControl w:val="false"/>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Відповідальність</w:t>
            </w:r>
          </w:p>
        </w:tc>
        <w:tc>
          <w:tcPr>
            <w:tcW w:w="5957" w:type="dxa"/>
            <w:gridSpan w:val="2"/>
            <w:tcBorders/>
          </w:tcPr>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усвідомлення важливості якісного виконання своїх посадових обов'язків з дотриманням строків та встановлених процедур;</w:t>
            </w:r>
          </w:p>
          <w:p>
            <w:pPr>
              <w:pStyle w:val="ListParagraph"/>
              <w:widowControl w:val="false"/>
              <w:numPr>
                <w:ilvl w:val="0"/>
                <w:numId w:val="1"/>
              </w:numPr>
              <w:tabs>
                <w:tab w:val="clear" w:pos="57"/>
                <w:tab w:val="left" w:pos="36" w:leader="none"/>
              </w:tabs>
              <w:suppressAutoHyphens w:val="true"/>
              <w:spacing w:lineRule="auto" w:line="240" w:before="0" w:after="0"/>
              <w:ind w:hanging="0" w:left="36" w:right="34"/>
              <w:contextualSpacing/>
              <w:rPr>
                <w:color w:val="000000"/>
                <w:szCs w:val="28"/>
              </w:rPr>
            </w:pPr>
            <w:r>
              <w:rPr>
                <w:rFonts w:eastAsia="Times New Roman" w:cs="Times New Roman"/>
                <w:color w:val="000000"/>
                <w:kern w:val="0"/>
                <w:szCs w:val="28"/>
                <w:lang w:val="uk-UA" w:bidi="ar-SA"/>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брати на себе зобов’язання, чітко їх дотримуватись і виконувати</w:t>
            </w:r>
          </w:p>
        </w:tc>
      </w:tr>
      <w:tr>
        <w:trPr>
          <w:trHeight w:val="2775" w:hRule="atLeast"/>
        </w:trPr>
        <w:tc>
          <w:tcPr>
            <w:tcW w:w="517" w:type="dxa"/>
            <w:tcBorders/>
          </w:tcPr>
          <w:p>
            <w:pPr>
              <w:pStyle w:val="Normal"/>
              <w:widowControl/>
              <w:suppressAutoHyphens w:val="true"/>
              <w:spacing w:before="0" w:after="0"/>
              <w:ind w:hanging="0"/>
              <w:rPr>
                <w:szCs w:val="24"/>
              </w:rPr>
            </w:pPr>
            <w:r>
              <w:rPr>
                <w:rFonts w:eastAsia="Times New Roman" w:cs="Times New Roman"/>
                <w:kern w:val="0"/>
                <w:szCs w:val="24"/>
                <w:lang w:val="uk-UA" w:bidi="ar-SA"/>
              </w:rPr>
              <w:t>4.</w:t>
            </w:r>
          </w:p>
        </w:tc>
        <w:tc>
          <w:tcPr>
            <w:tcW w:w="2978" w:type="dxa"/>
            <w:tcBorders/>
          </w:tcPr>
          <w:p>
            <w:pPr>
              <w:pStyle w:val="Normal"/>
              <w:widowControl w:val="false"/>
              <w:tabs>
                <w:tab w:val="clear" w:pos="57"/>
                <w:tab w:val="left" w:pos="1903" w:leader="none"/>
              </w:tabs>
              <w:suppressAutoHyphens w:val="true"/>
              <w:spacing w:lineRule="auto" w:line="240" w:before="0" w:after="0"/>
              <w:ind w:hanging="0" w:right="106"/>
              <w:rPr>
                <w:color w:val="000000"/>
                <w:szCs w:val="28"/>
              </w:rPr>
            </w:pPr>
            <w:r>
              <w:rPr>
                <w:rFonts w:eastAsia="Times New Roman" w:cs="Times New Roman"/>
                <w:color w:val="000000"/>
                <w:kern w:val="0"/>
                <w:szCs w:val="28"/>
                <w:lang w:val="uk-UA" w:bidi="ar-SA"/>
              </w:rPr>
              <w:t>Комунікація та взаємодія</w:t>
            </w:r>
          </w:p>
        </w:tc>
        <w:tc>
          <w:tcPr>
            <w:tcW w:w="5957" w:type="dxa"/>
            <w:gridSpan w:val="2"/>
            <w:tcBorders/>
          </w:tcPr>
          <w:p>
            <w:pPr>
              <w:pStyle w:val="Normal"/>
              <w:widowControl w:val="false"/>
              <w:numPr>
                <w:ilvl w:val="0"/>
                <w:numId w:val="1"/>
              </w:numPr>
              <w:tabs>
                <w:tab w:val="clear" w:pos="57"/>
                <w:tab w:val="left" w:pos="36" w:leader="none"/>
                <w:tab w:val="left" w:pos="420"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вміння визначати заінтересовані і впливові сторони та розбудовувати партнерські відносини;</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ефективно взаємодіяти, дослухатися, сприймати та викладати думку;</w:t>
            </w:r>
          </w:p>
          <w:p>
            <w:pPr>
              <w:pStyle w:val="Normal"/>
              <w:widowControl w:val="false"/>
              <w:numPr>
                <w:ilvl w:val="0"/>
                <w:numId w:val="1"/>
              </w:numPr>
              <w:tabs>
                <w:tab w:val="clear" w:pos="57"/>
                <w:tab w:val="left" w:pos="36"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вміння публічно виступати перед аудиторією;</w:t>
            </w:r>
          </w:p>
          <w:p>
            <w:pPr>
              <w:pStyle w:val="Normal"/>
              <w:widowControl w:val="false"/>
              <w:numPr>
                <w:ilvl w:val="0"/>
                <w:numId w:val="1"/>
              </w:numPr>
              <w:tabs>
                <w:tab w:val="clear" w:pos="57"/>
                <w:tab w:val="left" w:pos="36" w:leader="none"/>
                <w:tab w:val="left" w:pos="353" w:leader="none"/>
              </w:tabs>
              <w:suppressAutoHyphens w:val="true"/>
              <w:spacing w:lineRule="auto" w:line="240" w:before="0" w:after="0"/>
              <w:ind w:hanging="0" w:left="36" w:right="34"/>
              <w:rPr>
                <w:color w:val="000000"/>
                <w:szCs w:val="28"/>
              </w:rPr>
            </w:pPr>
            <w:r>
              <w:rPr>
                <w:rFonts w:eastAsia="Times New Roman" w:cs="Times New Roman"/>
                <w:color w:val="000000"/>
                <w:kern w:val="0"/>
                <w:szCs w:val="28"/>
                <w:lang w:val="uk-UA" w:bidi="ar-SA"/>
              </w:rPr>
              <w:t>здатність переконувати інших за допомогою аргументів та послідовної комунікації</w:t>
            </w:r>
          </w:p>
        </w:tc>
      </w:tr>
      <w:tr>
        <w:trPr>
          <w:trHeight w:val="615" w:hRule="atLeast"/>
        </w:trPr>
        <w:tc>
          <w:tcPr>
            <w:tcW w:w="9452" w:type="dxa"/>
            <w:gridSpan w:val="4"/>
            <w:tcBorders/>
          </w:tcPr>
          <w:p>
            <w:pPr>
              <w:pStyle w:val="Normal"/>
              <w:widowControl/>
              <w:suppressAutoHyphens w:val="true"/>
              <w:spacing w:before="0" w:after="0"/>
              <w:ind w:hanging="0"/>
              <w:jc w:val="center"/>
              <w:rPr>
                <w:b/>
                <w:szCs w:val="24"/>
              </w:rPr>
            </w:pPr>
            <w:r>
              <w:rPr>
                <w:rFonts w:eastAsia="Times New Roman" w:cs="Times New Roman"/>
                <w:b/>
                <w:kern w:val="0"/>
                <w:szCs w:val="24"/>
                <w:lang w:val="uk-UA" w:bidi="ar-SA"/>
              </w:rPr>
              <w:t>Професійні знання</w:t>
            </w:r>
          </w:p>
        </w:tc>
      </w:tr>
      <w:tr>
        <w:trPr>
          <w:trHeight w:val="450" w:hRule="atLeast"/>
        </w:trPr>
        <w:tc>
          <w:tcPr>
            <w:tcW w:w="3518" w:type="dxa"/>
            <w:gridSpan w:val="3"/>
            <w:tcBorders/>
          </w:tcPr>
          <w:p>
            <w:pPr>
              <w:pStyle w:val="Default"/>
              <w:widowControl/>
              <w:suppressAutoHyphens w:val="true"/>
              <w:spacing w:before="0" w:after="0"/>
              <w:jc w:val="center"/>
              <w:rPr>
                <w:rFonts w:ascii="Times New Roman" w:hAnsi="Times New Roman" w:eastAsia="Times New Roman" w:cs="Times New Roman"/>
                <w:kern w:val="0"/>
                <w:lang w:val="uk-UA" w:eastAsia="uk-UA" w:bidi="ar-SA"/>
              </w:rPr>
            </w:pPr>
            <w:r>
              <w:rPr>
                <w:rFonts w:eastAsia="Times New Roman" w:cs="Times New Roman"/>
                <w:b/>
                <w:bCs/>
                <w:color w:val="auto"/>
                <w:kern w:val="0"/>
                <w:sz w:val="28"/>
                <w:lang w:val="uk-UA" w:eastAsia="ru-RU" w:bidi="ar-SA"/>
              </w:rPr>
              <w:t>Вимоги</w:t>
            </w:r>
          </w:p>
        </w:tc>
        <w:tc>
          <w:tcPr>
            <w:tcW w:w="5934" w:type="dxa"/>
            <w:tcBorders/>
          </w:tcPr>
          <w:p>
            <w:pPr>
              <w:pStyle w:val="Normal"/>
              <w:widowControl/>
              <w:suppressAutoHyphens w:val="true"/>
              <w:spacing w:before="0" w:after="0"/>
              <w:jc w:val="center"/>
              <w:rPr>
                <w:rFonts w:ascii="Times New Roman" w:hAnsi="Times New Roman" w:eastAsia="Times New Roman" w:cs="Times New Roman"/>
                <w:kern w:val="0"/>
                <w:szCs w:val="20"/>
                <w:lang w:val="uk-UA" w:bidi="ar-SA"/>
              </w:rPr>
            </w:pPr>
            <w:r>
              <w:rPr>
                <w:rFonts w:eastAsia="Times New Roman" w:cs="Times New Roman"/>
                <w:b/>
                <w:kern w:val="0"/>
                <w:szCs w:val="24"/>
                <w:lang w:val="uk-UA" w:bidi="ar-SA"/>
              </w:rPr>
              <w:t>Компоненти вимоги</w:t>
            </w:r>
          </w:p>
        </w:tc>
      </w:tr>
      <w:tr>
        <w:trPr>
          <w:trHeight w:val="210"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1.</w:t>
            </w:r>
          </w:p>
        </w:tc>
        <w:tc>
          <w:tcPr>
            <w:tcW w:w="3001" w:type="dxa"/>
            <w:gridSpan w:val="2"/>
            <w:tcBorders/>
          </w:tcPr>
          <w:p>
            <w:pPr>
              <w:pStyle w:val="Default"/>
              <w:widowControl/>
              <w:suppressAutoHyphens w:val="true"/>
              <w:spacing w:before="0" w:after="0"/>
              <w:jc w:val="left"/>
              <w:rPr>
                <w:bCs/>
                <w:color w:val="auto"/>
                <w:sz w:val="28"/>
                <w:szCs w:val="28"/>
                <w:lang w:eastAsia="ru-RU"/>
              </w:rPr>
            </w:pPr>
            <w:r>
              <w:rPr>
                <w:rFonts w:eastAsia="Times New Roman" w:cs="Times New Roman"/>
                <w:bCs/>
                <w:color w:val="auto"/>
                <w:kern w:val="0"/>
                <w:sz w:val="28"/>
                <w:szCs w:val="28"/>
                <w:lang w:val="uk-UA" w:eastAsia="ru-RU" w:bidi="ar-SA"/>
              </w:rPr>
              <w:t>Знання законодавства</w:t>
            </w:r>
          </w:p>
        </w:tc>
        <w:tc>
          <w:tcPr>
            <w:tcW w:w="5934" w:type="dxa"/>
            <w:tcBorders/>
          </w:tcPr>
          <w:p>
            <w:pPr>
              <w:pStyle w:val="Normal"/>
              <w:widowControl/>
              <w:suppressAutoHyphens w:val="true"/>
              <w:spacing w:before="0" w:after="0"/>
              <w:ind w:hanging="0"/>
              <w:jc w:val="center"/>
              <w:rPr>
                <w:rFonts w:ascii="Times New Roman" w:hAnsi="Times New Roman" w:eastAsia="Times New Roman" w:cs="Times New Roman"/>
                <w:kern w:val="0"/>
                <w:szCs w:val="20"/>
                <w:lang w:val="uk-UA" w:bidi="ar-SA"/>
              </w:rPr>
            </w:pPr>
            <w:r>
              <w:rPr>
                <w:rFonts w:eastAsia="Times New Roman" w:cs="Times New Roman"/>
                <w:kern w:val="0"/>
                <w:szCs w:val="28"/>
                <w:lang w:val="uk-UA" w:bidi="ar-SA"/>
              </w:rPr>
              <w:t>Знання:</w:t>
            </w:r>
          </w:p>
          <w:p>
            <w:pPr>
              <w:pStyle w:val="Normal"/>
              <w:widowControl/>
              <w:suppressAutoHyphens w:val="true"/>
              <w:spacing w:before="0" w:after="0"/>
              <w:ind w:hanging="0"/>
              <w:rPr>
                <w:szCs w:val="28"/>
              </w:rPr>
            </w:pPr>
            <w:r>
              <w:rPr>
                <w:rFonts w:eastAsia="Times New Roman" w:cs="Times New Roman"/>
                <w:kern w:val="0"/>
                <w:szCs w:val="28"/>
                <w:lang w:val="uk-UA" w:bidi="ar-SA"/>
              </w:rPr>
              <w:t>- Конституції України;</w:t>
            </w:r>
          </w:p>
          <w:p>
            <w:pPr>
              <w:pStyle w:val="Normal"/>
              <w:widowControl/>
              <w:suppressAutoHyphens w:val="true"/>
              <w:spacing w:before="0" w:after="0"/>
              <w:ind w:hanging="0"/>
              <w:rPr>
                <w:szCs w:val="28"/>
              </w:rPr>
            </w:pPr>
            <w:r>
              <w:rPr>
                <w:rFonts w:eastAsia="Times New Roman" w:cs="Times New Roman"/>
                <w:kern w:val="0"/>
                <w:szCs w:val="28"/>
                <w:lang w:val="uk-UA" w:bidi="ar-SA"/>
              </w:rPr>
              <w:t>- Закону України «Про запобігання корупції»;</w:t>
            </w:r>
          </w:p>
          <w:p>
            <w:pPr>
              <w:pStyle w:val="Normal"/>
              <w:widowControl/>
              <w:suppressAutoHyphens w:val="true"/>
              <w:spacing w:before="0" w:after="0"/>
              <w:ind w:hanging="0"/>
              <w:rPr>
                <w:szCs w:val="28"/>
              </w:rPr>
            </w:pPr>
            <w:r>
              <w:rPr>
                <w:rFonts w:eastAsia="Times New Roman" w:cs="Times New Roman"/>
                <w:kern w:val="0"/>
                <w:szCs w:val="28"/>
                <w:lang w:val="uk-UA" w:bidi="ar-SA"/>
              </w:rPr>
              <w:t xml:space="preserve"> </w:t>
            </w:r>
            <w:r>
              <w:rPr>
                <w:rFonts w:eastAsia="Times New Roman" w:cs="Times New Roman"/>
                <w:kern w:val="0"/>
                <w:szCs w:val="28"/>
                <w:lang w:val="uk-UA" w:bidi="ar-SA"/>
              </w:rPr>
              <w:t>- Закону України «Про державну службу»;</w:t>
            </w:r>
          </w:p>
          <w:p>
            <w:pPr>
              <w:pStyle w:val="Normal"/>
              <w:widowControl/>
              <w:suppressAutoHyphens w:val="true"/>
              <w:spacing w:before="0" w:after="0"/>
              <w:ind w:firstLine="3"/>
              <w:rPr>
                <w:szCs w:val="28"/>
                <w:lang w:val="ru-RU" w:eastAsia="uk-UA"/>
              </w:rPr>
            </w:pPr>
            <w:r>
              <w:rPr>
                <w:rFonts w:eastAsia="Times New Roman" w:cs="Times New Roman"/>
                <w:kern w:val="0"/>
                <w:szCs w:val="28"/>
                <w:lang w:val="uk-UA" w:bidi="ar-SA"/>
              </w:rPr>
              <w:t>-</w:t>
            </w:r>
            <w:r>
              <w:rPr>
                <w:rFonts w:eastAsia="Times New Roman" w:cs="Times New Roman"/>
                <w:kern w:val="0"/>
                <w:szCs w:val="28"/>
                <w:lang w:val="uk-UA" w:eastAsia="uk-UA" w:bidi="ar-SA"/>
              </w:rPr>
              <w:t xml:space="preserve"> Закону України </w:t>
            </w:r>
            <w:r>
              <w:rPr>
                <w:rFonts w:eastAsia="Times New Roman" w:cs="Times New Roman"/>
                <w:kern w:val="0"/>
                <w:szCs w:val="28"/>
                <w:lang w:val="uk-UA" w:bidi="ar-SA"/>
              </w:rPr>
              <w:t>«</w:t>
            </w:r>
            <w:r>
              <w:rPr>
                <w:rFonts w:eastAsia="Times New Roman" w:cs="Times New Roman"/>
                <w:kern w:val="0"/>
                <w:szCs w:val="28"/>
                <w:lang w:val="uk-UA" w:eastAsia="uk-UA" w:bidi="ar-SA"/>
              </w:rPr>
              <w:t>Про доступ до публічної інформації</w:t>
            </w:r>
            <w:r>
              <w:rPr>
                <w:rFonts w:eastAsia="Times New Roman" w:cs="Times New Roman"/>
                <w:kern w:val="0"/>
                <w:szCs w:val="28"/>
                <w:lang w:val="uk-UA" w:bidi="ar-SA"/>
              </w:rPr>
              <w:t>»;</w:t>
            </w:r>
          </w:p>
          <w:p>
            <w:pPr>
              <w:pStyle w:val="cs66e64e55"/>
              <w:widowControl/>
              <w:suppressAutoHyphens w:val="true"/>
              <w:spacing w:beforeAutospacing="0" w:before="0" w:afterAutospacing="0" w:after="0"/>
              <w:jc w:val="both"/>
              <w:rPr>
                <w:sz w:val="28"/>
                <w:szCs w:val="28"/>
              </w:rPr>
            </w:pPr>
            <w:r>
              <w:rPr>
                <w:rFonts w:eastAsia="Times New Roman" w:cs="Times New Roman"/>
                <w:kern w:val="0"/>
                <w:sz w:val="28"/>
                <w:szCs w:val="28"/>
                <w:lang w:eastAsia="uk-UA" w:bidi="ar-SA"/>
              </w:rPr>
              <w:t xml:space="preserve">- Закону України </w:t>
            </w:r>
            <w:r>
              <w:rPr>
                <w:rFonts w:eastAsia="Times New Roman" w:cs="Times New Roman"/>
                <w:kern w:val="0"/>
                <w:sz w:val="28"/>
                <w:szCs w:val="28"/>
                <w:lang w:bidi="ar-SA"/>
              </w:rPr>
              <w:t>«</w:t>
            </w:r>
            <w:r>
              <w:rPr>
                <w:rFonts w:eastAsia="Times New Roman" w:cs="Times New Roman"/>
                <w:kern w:val="0"/>
                <w:sz w:val="28"/>
                <w:szCs w:val="28"/>
                <w:lang w:eastAsia="uk-UA" w:bidi="ar-SA"/>
              </w:rPr>
              <w:t>Про захист персональних даних</w:t>
            </w:r>
            <w:r>
              <w:rPr>
                <w:rFonts w:eastAsia="Times New Roman" w:cs="Times New Roman"/>
                <w:kern w:val="0"/>
                <w:sz w:val="28"/>
                <w:szCs w:val="28"/>
                <w:lang w:bidi="ar-SA"/>
              </w:rPr>
              <w:t>»</w:t>
            </w:r>
            <w:r>
              <w:rPr>
                <w:rFonts w:eastAsia="Times New Roman" w:cs="Times New Roman"/>
                <w:kern w:val="0"/>
                <w:sz w:val="28"/>
                <w:szCs w:val="28"/>
                <w:lang w:eastAsia="uk-UA" w:bidi="ar-SA"/>
              </w:rPr>
              <w:t>.</w:t>
            </w:r>
          </w:p>
        </w:tc>
      </w:tr>
      <w:tr>
        <w:trPr>
          <w:trHeight w:val="958" w:hRule="atLeast"/>
        </w:trPr>
        <w:tc>
          <w:tcPr>
            <w:tcW w:w="517" w:type="dxa"/>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2.</w:t>
            </w:r>
          </w:p>
        </w:tc>
        <w:tc>
          <w:tcPr>
            <w:tcW w:w="3001" w:type="dxa"/>
            <w:gridSpan w:val="2"/>
            <w:tcBorders/>
          </w:tcPr>
          <w:p>
            <w:pPr>
              <w:pStyle w:val="Default"/>
              <w:widowControl/>
              <w:suppressAutoHyphens w:val="true"/>
              <w:spacing w:before="0" w:after="0"/>
              <w:jc w:val="left"/>
              <w:rPr>
                <w:bCs/>
                <w:color w:val="auto"/>
                <w:sz w:val="28"/>
                <w:lang w:eastAsia="ru-RU"/>
              </w:rPr>
            </w:pPr>
            <w:r>
              <w:rPr>
                <w:rFonts w:eastAsia="Times New Roman" w:cs="Times New Roman"/>
                <w:bCs/>
                <w:color w:val="auto"/>
                <w:kern w:val="0"/>
                <w:sz w:val="28"/>
                <w:lang w:val="uk-UA" w:eastAsia="ru-RU" w:bidi="ar-SA"/>
              </w:rPr>
              <w:t>Знання законодавства у сфері</w:t>
            </w:r>
          </w:p>
        </w:tc>
        <w:tc>
          <w:tcPr>
            <w:tcW w:w="5934" w:type="dxa"/>
            <w:tcBorders/>
          </w:tcPr>
          <w:p>
            <w:pPr>
              <w:pStyle w:val="Normal"/>
              <w:widowControl/>
              <w:suppressAutoHyphens w:val="true"/>
              <w:spacing w:lineRule="auto" w:line="240" w:before="0" w:after="0"/>
              <w:ind w:hanging="0"/>
              <w:jc w:val="left"/>
              <w:rPr>
                <w:szCs w:val="28"/>
              </w:rPr>
            </w:pPr>
            <w:r>
              <w:rPr>
                <w:rFonts w:eastAsia="Times New Roman" w:cs="Times New Roman"/>
                <w:kern w:val="0"/>
                <w:szCs w:val="28"/>
                <w:lang w:val="uk-UA" w:bidi="ar-SA"/>
              </w:rPr>
              <w:t>Знання:</w:t>
            </w:r>
          </w:p>
          <w:p>
            <w:pPr>
              <w:pStyle w:val="Normal"/>
              <w:widowControl/>
              <w:suppressAutoHyphens w:val="true"/>
              <w:spacing w:lineRule="auto" w:line="240" w:before="0" w:after="0"/>
              <w:ind w:hanging="0"/>
              <w:rPr>
                <w:szCs w:val="28"/>
              </w:rPr>
            </w:pPr>
            <w:r>
              <w:rPr>
                <w:rFonts w:eastAsia="Times New Roman" w:cs="Times New Roman"/>
                <w:kern w:val="0"/>
                <w:szCs w:val="28"/>
                <w:lang w:val="uk-UA" w:bidi="ar-SA"/>
              </w:rPr>
              <w:t>- Кодекс адміністративного судочинства України;</w:t>
            </w:r>
          </w:p>
          <w:p>
            <w:pPr>
              <w:pStyle w:val="Normal"/>
              <w:widowControl/>
              <w:suppressAutoHyphens w:val="true"/>
              <w:spacing w:lineRule="auto" w:line="240" w:before="0" w:after="0"/>
              <w:ind w:hanging="0"/>
              <w:rPr>
                <w:szCs w:val="28"/>
              </w:rPr>
            </w:pPr>
            <w:r>
              <w:rPr>
                <w:rFonts w:eastAsia="Times New Roman" w:cs="Times New Roman"/>
                <w:kern w:val="0"/>
                <w:szCs w:val="28"/>
                <w:lang w:val="uk-UA" w:bidi="ar-SA"/>
              </w:rPr>
              <w:t>- Закону України «Про виконавче провадження»;</w:t>
            </w:r>
          </w:p>
          <w:p>
            <w:pPr>
              <w:pStyle w:val="Normal"/>
              <w:widowControl/>
              <w:suppressAutoHyphens w:val="true"/>
              <w:spacing w:lineRule="auto" w:line="240" w:before="0" w:after="0"/>
              <w:ind w:hanging="0"/>
              <w:rPr>
                <w:szCs w:val="28"/>
              </w:rPr>
            </w:pPr>
            <w:r>
              <w:rPr>
                <w:rFonts w:eastAsia="Times New Roman" w:cs="Times New Roman"/>
                <w:kern w:val="0"/>
                <w:szCs w:val="28"/>
                <w:lang w:val="ru-RU" w:bidi="ar-SA"/>
              </w:rPr>
              <w:t xml:space="preserve">- </w:t>
            </w:r>
            <w:r>
              <w:rPr>
                <w:rFonts w:eastAsia="Times New Roman" w:cs="Times New Roman"/>
                <w:kern w:val="0"/>
                <w:szCs w:val="28"/>
                <w:lang w:val="uk-UA" w:bidi="ar-SA"/>
              </w:rPr>
              <w:t>Закону України «Про загальнообов’язкове державне пенсійне страхування».</w:t>
            </w:r>
          </w:p>
          <w:p>
            <w:pPr>
              <w:pStyle w:val="Normal"/>
              <w:widowControl/>
              <w:suppressAutoHyphens w:val="true"/>
              <w:spacing w:lineRule="auto" w:line="240" w:before="0" w:after="0"/>
              <w:ind w:hanging="0"/>
              <w:jc w:val="left"/>
              <w:rPr>
                <w:color w:val="FF0000"/>
              </w:rPr>
            </w:pPr>
            <w:r>
              <w:rPr>
                <w:color w:val="FF0000"/>
              </w:rPr>
            </w:r>
          </w:p>
        </w:tc>
      </w:tr>
    </w:tbl>
    <w:p>
      <w:pPr>
        <w:pStyle w:val="Style17"/>
        <w:jc w:val="center"/>
        <w:rPr>
          <w:bCs/>
          <w:szCs w:val="28"/>
        </w:rPr>
      </w:pPr>
      <w:r>
        <w:rPr>
          <w:bCs/>
          <w:szCs w:val="28"/>
        </w:rPr>
        <w:t>______________________</w:t>
      </w:r>
    </w:p>
    <w:sectPr>
      <w:headerReference w:type="even" r:id="rId2"/>
      <w:headerReference w:type="default" r:id="rId3"/>
      <w:headerReference w:type="first" r:id="rId4"/>
      <w:type w:val="nextPage"/>
      <w:pgSz w:w="11906" w:h="16838"/>
      <w:pgMar w:left="1701" w:right="567" w:gutter="0" w:header="567" w:top="1134" w:footer="0" w:bottom="709"/>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0" distB="0" distL="0" distR="0" simplePos="0" locked="0" layoutInCell="0" allowOverlap="1" relativeHeight="10" wp14:anchorId="0D9D1538">
              <wp:simplePos x="0" y="0"/>
              <wp:positionH relativeFrom="margin">
                <wp:align>center</wp:align>
              </wp:positionH>
              <wp:positionV relativeFrom="paragraph">
                <wp:posOffset>635</wp:posOffset>
              </wp:positionV>
              <wp:extent cx="14605" cy="14605"/>
              <wp:effectExtent l="0" t="0" r="0" b="0"/>
              <wp:wrapSquare wrapText="bothSides"/>
              <wp:docPr id="1" name="Рам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Style25"/>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wp14:anchorId="0D9D1538">
              <v:fill o:detectmouseclick="t" on="false"/>
              <v:stroke color="#3465a4" joinstyle="round" endcap="flat"/>
              <v:textbox>
                <w:txbxContent>
                  <w:p>
                    <w:pPr>
                      <w:pStyle w:val="Style25"/>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0" distB="0" distL="0" distR="0" simplePos="0" locked="0" layoutInCell="0" allowOverlap="1" relativeHeight="8" wp14:anchorId="6A8B7A20">
              <wp:simplePos x="0" y="0"/>
              <wp:positionH relativeFrom="margin">
                <wp:align>center</wp:align>
              </wp:positionH>
              <wp:positionV relativeFrom="paragraph">
                <wp:posOffset>635</wp:posOffset>
              </wp:positionV>
              <wp:extent cx="1481455" cy="173990"/>
              <wp:effectExtent l="0" t="0" r="0" b="0"/>
              <wp:wrapSquare wrapText="bothSides"/>
              <wp:docPr id="2" name="Рамка2"/>
              <a:graphic xmlns:a="http://schemas.openxmlformats.org/drawingml/2006/main">
                <a:graphicData uri="http://schemas.microsoft.com/office/word/2010/wordprocessingShape">
                  <wps:wsp>
                    <wps:cNvSpPr/>
                    <wps:spPr>
                      <a:xfrm>
                        <a:off x="0" y="0"/>
                        <a:ext cx="1481400" cy="173880"/>
                      </a:xfrm>
                      <a:prstGeom prst="rect">
                        <a:avLst/>
                      </a:prstGeom>
                      <a:noFill/>
                      <a:ln w="0">
                        <a:noFill/>
                      </a:ln>
                    </wps:spPr>
                    <wps:style>
                      <a:lnRef idx="0"/>
                      <a:fillRef idx="0"/>
                      <a:effectRef idx="0"/>
                      <a:fontRef idx="minor"/>
                    </wps:style>
                    <wps:txbx>
                      <w:txbxContent>
                        <w:p>
                          <w:pPr>
                            <w:pStyle w:val="Style25"/>
                            <w:rPr>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5</w:t>
                          </w:r>
                          <w:r>
                            <w:rPr>
                              <w:color w:val="000000"/>
                              <w:sz w:val="24"/>
                              <w:szCs w:val="24"/>
                            </w:rPr>
                            <w:fldChar w:fldCharType="end"/>
                          </w:r>
                        </w:p>
                      </w:txbxContent>
                    </wps:txbx>
                    <wps:bodyPr lIns="0" tIns="0" rIns="0" bIns="0" anchor="t">
                      <a:spAutoFit/>
                    </wps:bodyPr>
                  </wps:wsp>
                </a:graphicData>
              </a:graphic>
            </wp:anchor>
          </w:drawing>
        </mc:Choice>
        <mc:Fallback>
          <w:pict>
            <v:rect id="shape_0" stroked="f" o:allowincell="f" style="position:absolute;margin-left:182.6pt;margin-top:0.05pt;width:116.6pt;height:13.65pt;mso-wrap-style:square;v-text-anchor:top;mso-position-horizontal:center;mso-position-horizontal-relative:margin" wp14:anchorId="6A8B7A20">
              <v:fill o:detectmouseclick="t" on="false"/>
              <v:stroke color="#3465a4" joinstyle="round" endcap="flat"/>
              <v:textbox>
                <w:txbxContent>
                  <w:p>
                    <w:pPr>
                      <w:pStyle w:val="Style25"/>
                      <w:rPr>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5</w:t>
                    </w:r>
                    <w:r>
                      <w:rPr>
                        <w:color w:val="000000"/>
                        <w:sz w:val="24"/>
                        <w:szCs w:val="24"/>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57"/>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 w:cstheme="minorBidi" w:eastAsiaTheme="minorHAnsi"/>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Style13" w:customStyle="1">
    <w:name w:val="Підзаголовок Знак"/>
    <w:basedOn w:val="DefaultParagraphFont"/>
    <w:uiPriority w:val="99"/>
    <w:qFormat/>
    <w:rsid w:val="00de0c41"/>
    <w:rPr>
      <w:b/>
      <w:sz w:val="28"/>
    </w:rPr>
  </w:style>
  <w:style w:type="character" w:styleId="rvts0" w:customStyle="1">
    <w:name w:val="rvts0"/>
    <w:qFormat/>
    <w:rsid w:val="005a46ff"/>
    <w:rPr>
      <w:rFonts w:cs="Times New Roman"/>
    </w:rPr>
  </w:style>
  <w:style w:type="character" w:styleId="csd2c743de" w:customStyle="1">
    <w:name w:val="csd2c743de"/>
    <w:basedOn w:val="DefaultParagraphFont"/>
    <w:qFormat/>
    <w:rsid w:val="002330a4"/>
    <w:rPr/>
  </w:style>
  <w:style w:type="paragraph" w:styleId="Style14" w:customStyle="1">
    <w:name w:val="Заголовок"/>
    <w:basedOn w:val="Normal"/>
    <w:next w:val="BodyText"/>
    <w:qFormat/>
    <w:pPr>
      <w:keepNext w:val="true"/>
      <w:spacing w:before="240" w:after="120"/>
    </w:pPr>
    <w:rPr>
      <w:rFonts w:ascii="Liberation Sans" w:hAnsi="Liberation Sans" w:eastAsia="Microsoft YaHei" w:cs="Arial"/>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customStyle="1">
    <w:name w:val="Покажчик"/>
    <w:basedOn w:val="Normal"/>
    <w:qFormat/>
    <w:pPr>
      <w:suppressLineNumbers/>
    </w:pPr>
    <w:rPr>
      <w:rFonts w:cs="Arial"/>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pPr>
      <w:suppressLineNumbers/>
    </w:pPr>
    <w:rPr>
      <w:rFonts w:cs="Lucida Sans"/>
    </w:rPr>
  </w:style>
  <w:style w:type="paragraph" w:styleId="user2" w:customStyle="1">
    <w:name w:val="Верхній і нижній колонтитули (user)"/>
    <w:basedOn w:val="Normal"/>
    <w:qFormat/>
    <w:pPr/>
    <w:rPr/>
  </w:style>
  <w:style w:type="paragraph" w:styleId="Style16" w:customStyle="1">
    <w:name w:val="Верхній і нижній колонтитули"/>
    <w:basedOn w:val="Normal"/>
    <w:qFormat/>
    <w:pPr/>
    <w:rPr/>
  </w:style>
  <w:style w:type="paragraph" w:styleId="Footer">
    <w:name w:val="footer"/>
    <w:basedOn w:val="Normal"/>
    <w:rsid w:val="00a0742f"/>
    <w:pPr>
      <w:tabs>
        <w:tab w:val="clear" w:pos="57"/>
        <w:tab w:val="center" w:pos="4153" w:leader="none"/>
        <w:tab w:val="right" w:pos="8306" w:leader="none"/>
      </w:tabs>
    </w:pPr>
    <w:rPr/>
  </w:style>
  <w:style w:type="paragraph" w:styleId="Style17" w:customStyle="1">
    <w:name w:val="Нормальний текст"/>
    <w:basedOn w:val="Normal"/>
    <w:qFormat/>
    <w:rsid w:val="00a0742f"/>
    <w:pPr>
      <w:spacing w:before="120" w:after="0"/>
      <w:ind w:firstLine="567"/>
    </w:pPr>
    <w:rPr/>
  </w:style>
  <w:style w:type="paragraph" w:styleId="Style18"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57"/>
        <w:tab w:val="center" w:pos="4153" w:leader="none"/>
        <w:tab w:val="right" w:pos="8306" w:leader="none"/>
      </w:tabs>
    </w:pPr>
    <w:rPr/>
  </w:style>
  <w:style w:type="paragraph" w:styleId="11" w:customStyle="1">
    <w:name w:val="Підпис1"/>
    <w:basedOn w:val="Normal"/>
    <w:qFormat/>
    <w:rsid w:val="00a0742f"/>
    <w:pPr>
      <w:keepLines/>
      <w:tabs>
        <w:tab w:val="clear" w:pos="57"/>
        <w:tab w:val="center" w:pos="2268" w:leader="none"/>
        <w:tab w:val="left" w:pos="6804" w:leader="none"/>
      </w:tabs>
      <w:spacing w:before="360" w:after="0"/>
    </w:pPr>
    <w:rPr>
      <w:b/>
      <w:position w:val="-48"/>
    </w:rPr>
  </w:style>
  <w:style w:type="paragraph" w:styleId="Style19" w:customStyle="1">
    <w:name w:val="Глава документу"/>
    <w:basedOn w:val="Normal"/>
    <w:next w:val="Normal"/>
    <w:qFormat/>
    <w:rsid w:val="00a0742f"/>
    <w:pPr>
      <w:keepNext w:val="true"/>
      <w:keepLines/>
      <w:spacing w:before="120" w:after="120"/>
      <w:jc w:val="center"/>
    </w:pPr>
    <w:rPr/>
  </w:style>
  <w:style w:type="paragraph" w:styleId="Style20" w:customStyle="1">
    <w:name w:val="Герб"/>
    <w:basedOn w:val="Normal"/>
    <w:qFormat/>
    <w:rsid w:val="00a0742f"/>
    <w:pPr>
      <w:keepNext w:val="true"/>
      <w:keepLines/>
      <w:jc w:val="center"/>
    </w:pPr>
    <w:rPr>
      <w:sz w:val="144"/>
      <w:lang w:val="en-US"/>
    </w:rPr>
  </w:style>
  <w:style w:type="paragraph" w:styleId="Style21" w:customStyle="1">
    <w:name w:val="Установа"/>
    <w:basedOn w:val="Normal"/>
    <w:qFormat/>
    <w:rsid w:val="00a0742f"/>
    <w:pPr>
      <w:keepNext w:val="true"/>
      <w:keepLines/>
      <w:spacing w:before="120" w:after="0"/>
      <w:jc w:val="center"/>
    </w:pPr>
    <w:rPr>
      <w:b/>
      <w:sz w:val="40"/>
    </w:rPr>
  </w:style>
  <w:style w:type="paragraph" w:styleId="Style22" w:customStyle="1">
    <w:name w:val="Вид документа"/>
    <w:basedOn w:val="Style21"/>
    <w:next w:val="Normal"/>
    <w:qFormat/>
    <w:rsid w:val="00a0742f"/>
    <w:pPr>
      <w:spacing w:before="360" w:after="240"/>
    </w:pPr>
    <w:rPr>
      <w:spacing w:val="20"/>
      <w:sz w:val="26"/>
    </w:rPr>
  </w:style>
  <w:style w:type="paragraph" w:styleId="Style23" w:customStyle="1">
    <w:name w:val="Час та місце"/>
    <w:basedOn w:val="Normal"/>
    <w:qFormat/>
    <w:rsid w:val="00a0742f"/>
    <w:pPr>
      <w:keepNext w:val="true"/>
      <w:keepLines/>
      <w:spacing w:before="120" w:after="240"/>
      <w:jc w:val="center"/>
    </w:pPr>
    <w:rPr/>
  </w:style>
  <w:style w:type="paragraph" w:styleId="Style24" w:customStyle="1">
    <w:name w:val="Назва документа"/>
    <w:basedOn w:val="Normal"/>
    <w:next w:val="Style17"/>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cs="" w:cstheme="minorBidi" w:eastAsiaTheme="minorHAns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197d14"/>
    <w:pPr>
      <w:spacing w:before="0" w:after="0"/>
      <w:ind w:left="720"/>
      <w:contextualSpacing/>
    </w:pPr>
    <w:rPr/>
  </w:style>
  <w:style w:type="paragraph" w:styleId="Subtitle">
    <w:name w:val="Subtitle"/>
    <w:basedOn w:val="Normal"/>
    <w:link w:val="Style13"/>
    <w:uiPriority w:val="99"/>
    <w:qFormat/>
    <w:rsid w:val="00de0c41"/>
    <w:pPr>
      <w:spacing w:lineRule="auto" w:line="240"/>
      <w:ind w:hanging="0"/>
      <w:jc w:val="center"/>
    </w:pPr>
    <w:rPr>
      <w:b/>
    </w:rPr>
  </w:style>
  <w:style w:type="paragraph" w:styleId="31" w:customStyle="1">
    <w:name w:val="Основной текст (3)1"/>
    <w:basedOn w:val="Normal"/>
    <w:qFormat/>
    <w:rsid w:val="00c42ed0"/>
    <w:pPr>
      <w:widowControl w:val="false"/>
      <w:shd w:val="clear" w:color="auto" w:fill="FFFFFF"/>
      <w:spacing w:lineRule="atLeast" w:line="240" w:before="0" w:after="600"/>
      <w:ind w:hanging="0"/>
      <w:jc w:val="left"/>
    </w:pPr>
    <w:rPr>
      <w:rFonts w:ascii="Courier New" w:hAnsi="Courier New"/>
      <w:spacing w:val="2"/>
      <w:sz w:val="17"/>
    </w:rPr>
  </w:style>
  <w:style w:type="paragraph" w:styleId="csfb0aa375" w:customStyle="1">
    <w:name w:val="csfb0aa375"/>
    <w:basedOn w:val="Normal"/>
    <w:qFormat/>
    <w:rsid w:val="002330a4"/>
    <w:pPr>
      <w:spacing w:lineRule="auto" w:line="240" w:beforeAutospacing="1" w:afterAutospacing="1"/>
      <w:ind w:hanging="0"/>
      <w:jc w:val="left"/>
    </w:pPr>
    <w:rPr>
      <w:sz w:val="24"/>
      <w:szCs w:val="24"/>
      <w:lang w:val="ru-RU"/>
    </w:rPr>
  </w:style>
  <w:style w:type="paragraph" w:styleId="cse2a94784" w:customStyle="1">
    <w:name w:val="cse2a94784"/>
    <w:basedOn w:val="Normal"/>
    <w:qFormat/>
    <w:rsid w:val="002330a4"/>
    <w:pPr>
      <w:spacing w:lineRule="auto" w:line="240" w:beforeAutospacing="1" w:afterAutospacing="1"/>
      <w:ind w:hanging="0"/>
      <w:jc w:val="left"/>
    </w:pPr>
    <w:rPr>
      <w:sz w:val="24"/>
      <w:szCs w:val="24"/>
      <w:lang w:val="ru-RU"/>
    </w:rPr>
  </w:style>
  <w:style w:type="paragraph" w:styleId="cs66e64e55" w:customStyle="1">
    <w:name w:val="cs66e64e55"/>
    <w:basedOn w:val="Normal"/>
    <w:qFormat/>
    <w:rsid w:val="002330a4"/>
    <w:pPr>
      <w:spacing w:lineRule="auto" w:line="240" w:beforeAutospacing="1" w:afterAutospacing="1"/>
      <w:ind w:hanging="0"/>
      <w:jc w:val="left"/>
    </w:pPr>
    <w:rPr>
      <w:sz w:val="24"/>
      <w:szCs w:val="24"/>
      <w:lang w:val="ru-RU"/>
    </w:rPr>
  </w:style>
  <w:style w:type="paragraph" w:styleId="user3" w:customStyle="1">
    <w:name w:val="Вміст рамки (user)"/>
    <w:basedOn w:val="Normal"/>
    <w:qFormat/>
    <w:pPr/>
    <w:rPr/>
  </w:style>
  <w:style w:type="paragraph" w:styleId="Style25" w:customStyle="1">
    <w:name w:val="Вміст рамки"/>
    <w:basedOn w:val="Normal"/>
    <w:qFormat/>
    <w:pPr/>
    <w:rPr/>
  </w:style>
  <w:style w:type="paragraph" w:styleId="Style26" w:customStyle="1">
    <w:name w:val="Вміст таблиці"/>
    <w:basedOn w:val="Normal"/>
    <w:qFormat/>
    <w:pPr>
      <w:widowControl w:val="false"/>
      <w:suppressLineNumbers/>
    </w:pPr>
    <w:rPr/>
  </w:style>
  <w:style w:type="paragraph" w:styleId="Style27" w:customStyle="1">
    <w:name w:val="Заголовок таблиці"/>
    <w:basedOn w:val="Style26"/>
    <w:qFormat/>
    <w:pPr>
      <w:jc w:val="center"/>
    </w:pPr>
    <w:rPr>
      <w:b/>
      <w:bCs/>
    </w:rPr>
  </w:style>
  <w:style w:type="paragraph" w:styleId="cs7c5251be" w:customStyle="1">
    <w:name w:val="cs7c5251be"/>
    <w:basedOn w:val="Normal"/>
    <w:qFormat/>
    <w:pPr>
      <w:spacing w:lineRule="auto" w:line="240" w:beforeAutospacing="1" w:afterAutospacing="1"/>
      <w:ind w:hanging="0"/>
      <w:jc w:val="left"/>
    </w:pPr>
    <w:rPr>
      <w:sz w:val="24"/>
      <w:szCs w:val="24"/>
      <w:lang w:eastAsia="uk-UA"/>
    </w:rPr>
  </w:style>
  <w:style w:type="numbering" w:styleId="Style28" w:default="1">
    <w:name w:val="Без маркерів"/>
    <w:uiPriority w:val="99"/>
    <w:semiHidden/>
    <w:unhideWhenUsed/>
    <w:qFormat/>
  </w:style>
  <w:style w:type="numbering" w:styleId="user4" w:customStyle="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99B6B-F138-4707-A219-BBA6839F4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Application>LibreOffice/26.2.0.3$Windows_X86_64 LibreOffice_project/620$Build-3</Application>
  <AppVersion>15.0000</AppVersion>
  <Pages>5</Pages>
  <Words>888</Words>
  <Characters>6067</Characters>
  <CharactersWithSpaces>6866</CharactersWithSpaces>
  <Paragraphs>76</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2026-08-12T07:52:00Z</dcterms:created>
  <dc:creator>1-1</dc:creator>
  <dc:description/>
  <dc:language>uk-UA</dc:language>
  <cp:lastModifiedBy/>
  <cp:lastPrinted>2026-07-10T07:51:00Z</cp:lastPrinted>
  <dcterms:modified xsi:type="dcterms:W3CDTF">2026-09-02T17:16:37Z</dcterms:modified>
  <cp:revision>9</cp:revision>
  <dc:subject/>
  <dc:title>£</dc:title>
</cp:coreProperties>
</file>

<file path=docProps/custom.xml><?xml version="1.0" encoding="utf-8"?>
<Properties xmlns="http://schemas.openxmlformats.org/officeDocument/2006/custom-properties" xmlns:vt="http://schemas.openxmlformats.org/officeDocument/2006/docPropsVTypes"/>
</file>