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Cs w:val="28"/>
        </w:rPr>
      </w:r>
    </w:p>
    <w:p>
      <w:pPr>
        <w:pStyle w:val="Normal"/>
        <w:ind w:hanging="0"/>
        <w:jc w:val="center"/>
        <w:rPr>
          <w:bCs/>
          <w:szCs w:val="28"/>
        </w:rPr>
      </w:pPr>
      <w:r>
        <w:rPr>
          <w:b w:val="false"/>
          <w:bCs/>
          <w:i w:val="false"/>
          <w:szCs w:val="28"/>
        </w:rPr>
        <w:t>У</w:t>
      </w:r>
      <w:r>
        <w:rPr>
          <w:bCs/>
          <w:szCs w:val="28"/>
        </w:rPr>
        <w:t xml:space="preserve">мови </w:t>
      </w:r>
    </w:p>
    <w:p>
      <w:pPr>
        <w:pStyle w:val="Normal"/>
        <w:ind w:hanging="0"/>
        <w:jc w:val="center"/>
        <w:rPr>
          <w:bCs/>
          <w:szCs w:val="28"/>
        </w:rPr>
      </w:pPr>
      <w:r>
        <w:rPr>
          <w:bCs/>
          <w:szCs w:val="28"/>
        </w:rPr>
        <w:t xml:space="preserve">проведення добору </w:t>
      </w:r>
    </w:p>
    <w:p>
      <w:pPr>
        <w:pStyle w:val="Normal"/>
        <w:ind w:hanging="0"/>
        <w:jc w:val="center"/>
        <w:rPr>
          <w:bCs/>
          <w:szCs w:val="28"/>
        </w:rPr>
      </w:pPr>
      <w:r>
        <w:rPr>
          <w:bCs/>
          <w:szCs w:val="28"/>
        </w:rPr>
        <w:t xml:space="preserve">на зайняття посади державної служби категорії «Б» </w:t>
      </w:r>
    </w:p>
    <w:p>
      <w:pPr>
        <w:pStyle w:val="Normal"/>
        <w:ind w:hanging="0"/>
        <w:jc w:val="center"/>
        <w:rPr>
          <w:bCs/>
          <w:szCs w:val="28"/>
        </w:rPr>
      </w:pPr>
      <w:r>
        <w:rPr>
          <w:bCs/>
          <w:szCs w:val="28"/>
        </w:rPr>
        <w:t xml:space="preserve"> </w:t>
      </w:r>
      <w:r>
        <w:rPr>
          <w:bCs/>
          <w:szCs w:val="28"/>
        </w:rPr>
        <w:t>начальник фінансово-економічного управління – головний бухгалтер на період відсутності основного працівника</w:t>
      </w:r>
    </w:p>
    <w:p>
      <w:pPr>
        <w:pStyle w:val="Normal"/>
        <w:ind w:hanging="0"/>
        <w:jc w:val="center"/>
        <w:rPr>
          <w:bCs/>
          <w:szCs w:val="28"/>
        </w:rPr>
      </w:pPr>
      <w:r>
        <w:rPr>
          <w:bCs/>
          <w:szCs w:val="28"/>
        </w:rPr>
        <w:t xml:space="preserve"> </w:t>
      </w:r>
      <w:r>
        <w:rPr>
          <w:bCs/>
          <w:szCs w:val="28"/>
        </w:rPr>
        <w:t>(вул. Бульварно-Кудрявська, 16)</w:t>
      </w:r>
    </w:p>
    <w:p>
      <w:pPr>
        <w:pStyle w:val="Normal"/>
        <w:ind w:hanging="0"/>
        <w:jc w:val="center"/>
        <w:rPr>
          <w:szCs w:val="28"/>
        </w:rPr>
      </w:pPr>
      <w:r>
        <w:rPr>
          <w:szCs w:val="28"/>
        </w:rPr>
      </w:r>
    </w:p>
    <w:tbl>
      <w:tblPr>
        <w:tblStyle w:val="af"/>
        <w:tblW w:w="9752" w:type="dxa"/>
        <w:jc w:val="left"/>
        <w:tblInd w:w="250" w:type="dxa"/>
        <w:tblLayout w:type="fixed"/>
        <w:tblCellMar>
          <w:top w:w="0" w:type="dxa"/>
          <w:left w:w="108" w:type="dxa"/>
          <w:bottom w:w="0" w:type="dxa"/>
          <w:right w:w="108" w:type="dxa"/>
        </w:tblCellMar>
        <w:tblLook w:val="04a0"/>
      </w:tblPr>
      <w:tblGrid>
        <w:gridCol w:w="540"/>
        <w:gridCol w:w="2970"/>
        <w:gridCol w:w="31"/>
        <w:gridCol w:w="6211"/>
      </w:tblGrid>
      <w:tr>
        <w:trPr/>
        <w:tc>
          <w:tcPr>
            <w:tcW w:w="9752" w:type="dxa"/>
            <w:gridSpan w:val="4"/>
            <w:tcBorders/>
          </w:tcPr>
          <w:p>
            <w:pPr>
              <w:pStyle w:val="Normal"/>
              <w:widowControl/>
              <w:suppressAutoHyphens w:val="true"/>
              <w:spacing w:lineRule="auto" w:line="240" w:before="0" w:after="0"/>
              <w:ind w:firstLine="181"/>
              <w:jc w:val="center"/>
              <w:rPr>
                <w:b/>
                <w:bCs/>
                <w:szCs w:val="28"/>
              </w:rPr>
            </w:pPr>
            <w:r>
              <w:rPr>
                <w:rFonts w:eastAsia="Times New Roman" w:cs="Times New Roman"/>
                <w:b/>
                <w:bCs/>
                <w:kern w:val="0"/>
                <w:szCs w:val="28"/>
                <w:lang w:val="uk-UA" w:bidi="ar-SA"/>
              </w:rPr>
              <w:t>Загальні умови</w:t>
            </w:r>
          </w:p>
        </w:tc>
      </w:tr>
      <w:tr>
        <w:trPr/>
        <w:tc>
          <w:tcPr>
            <w:tcW w:w="3510"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Посадові обов’язки</w:t>
            </w:r>
          </w:p>
        </w:tc>
        <w:tc>
          <w:tcPr>
            <w:tcW w:w="6242" w:type="dxa"/>
            <w:gridSpan w:val="2"/>
            <w:tcBorders/>
          </w:tcPr>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Здійснювати моніторинг за дотриманням фінансово-економічної дисципліни у Головному управлінні. Забезпечувати контроль за наявністю і рухом майна, використанням фінансових і матеріальних (нематеріальних) ресурсів Головного управління; запобігання виявленню негативних явищ у фінансово-господарській діяльності, виявлення і мобілізація внутрішньогосподарських резервів Головного управління.</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Забезпечувати складання проєкту кошторису Головного управління, підготовки розрахунків до проєкту кошторису Головного управління. Організація проведення постатейного аналізу виконання дохідної та видаткової частин Плану доходів і видатків Головного управління, координація підготовки узагальнюючих матеріалів про виконання показників Плану доходів і видатків Головного управління з метою здійснення ефективного розподілу ресурсів для пенсійного забезпечення, здійснення страхових виплат та соціальних послуг, грошової і допомоги, оплату за надані послуги з виплати пенсій, субсидій та пільг на оплату житлово-комунальних послуг, придбання твердого та рідкого пічного побутового палива і скрапленого газу та інших виплат відповідно до законодавства.</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Забезпечувати ведення бухгалтерського обліку фінансово-господарської діяльності, аналізувати та узагальнювати оперативну, бюджетну, фінансову, податкову та іншу звітності Головного управління, здійснювати поточний контроль за дотриманням законодавства при взятті зобов’язань, здійсненні платежів відповідно до взятих зобов’язань, цільовим, економним та раціональним використанням коштів на пенсійні виплати та грошові допомоги, адміністративно-господарські видатки.</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Забезпечувати аналіз даних щодо виконанням планових показників з надходження власних коштів до Плану доходів і видатків Головного управління, забезпечення аналізу стану окремих показників соціально-економічного розвитку регіону, процесів та показники у сферах оплати праці, загальнообов’язкового державного соціального страхування та зайнятості, а також їх вплив на надходження коштів, призначених для пенсійного та соціального страхування.</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Забезпечувати формування та реалізацію фінансової політики Головного управління, належне планування / прогнозування, аналіз та виконання кошторису Головного управління.</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Забезпечувати контроль: за ведення оперативного, аналітичного та бухгалтерського обліку з питань виконання бюджету Головного управління; за цільовим, економним та раціональним використанням коштів на виплату пенсій та інших виплат; за надходженням коштів від сплати збору на обов’язкове державне пенсійне страхування з окремих видів господарських операцій, інших коштів відповідно до законодавства; за виконанням планових показників надходження власних коштів до бюджету Головного управління для забезпечення своєчасного фінансування пенсій; за забезпечення стягнення у передбаченому законодавством порядку своєчасно несплачених обов’язкових платежів, погашення заборгованості боржниками; підготовка інформації про фінансовий стан, господарську діяльність та рух коштів Головного управління для прийняття обґрунтованих управлінських рішень щодо використання коштів. Складання на підставі даних бухгалтерського обліку фінансової. Бюджетної , податкової та іншої звітності та подання її у встановленому законодавством порядку.</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Організація роботи з ведення діловодства в управлінні через підсистему ІКІС                      ПФУ: Документообіг.</w:t>
            </w:r>
          </w:p>
          <w:p>
            <w:pPr>
              <w:pStyle w:val="user3"/>
              <w:widowControl/>
              <w:numPr>
                <w:ilvl w:val="0"/>
                <w:numId w:val="1"/>
              </w:numPr>
              <w:suppressAutoHyphens w:val="true"/>
              <w:spacing w:before="0" w:after="0"/>
              <w:ind w:hanging="0" w:left="36"/>
              <w:jc w:val="both"/>
              <w:rPr>
                <w:rFonts w:cs="Times New Roman"/>
                <w:color w:val="000000"/>
                <w:sz w:val="28"/>
                <w:szCs w:val="28"/>
              </w:rPr>
            </w:pPr>
            <w:r>
              <w:rPr>
                <w:rFonts w:eastAsia="Times New Roman" w:cs="Times New Roman"/>
                <w:color w:val="000000"/>
                <w:kern w:val="0"/>
                <w:sz w:val="28"/>
                <w:szCs w:val="28"/>
                <w:lang w:val="uk-UA" w:eastAsia="uk-UA" w:bidi="ar-SA"/>
              </w:rPr>
              <w:t>Забезпечення в межах своєї компетенції дотримання законодавства про інформацію, доступ до публічної інформації та персональних даних, виконання вимог законодавства про запобігання корупції.</w:t>
            </w:r>
          </w:p>
          <w:p>
            <w:pPr>
              <w:pStyle w:val="user3"/>
              <w:widowControl/>
              <w:numPr>
                <w:ilvl w:val="0"/>
                <w:numId w:val="1"/>
              </w:numPr>
              <w:suppressAutoHyphens w:val="true"/>
              <w:spacing w:before="0" w:after="0"/>
              <w:ind w:hanging="0" w:left="36"/>
              <w:jc w:val="both"/>
              <w:rPr>
                <w:rFonts w:eastAsia="Calibri" w:cs="Times New Roman"/>
                <w:sz w:val="28"/>
                <w:szCs w:val="28"/>
              </w:rPr>
            </w:pPr>
            <w:r>
              <w:rPr>
                <w:rFonts w:eastAsia="Times New Roman" w:cs="Times New Roman"/>
                <w:color w:val="000000"/>
                <w:kern w:val="0"/>
                <w:sz w:val="28"/>
                <w:szCs w:val="28"/>
                <w:lang w:val="uk-UA" w:eastAsia="uk-UA" w:bidi="ar-SA"/>
              </w:rPr>
              <w:t>Узагальнення, аналіз та підготовка керівництву Головного управління інформаційні та аналітичні матеріали з питань, віднесених до компетенції управління, вносити пропозиції щодо удосконалення роботи</w:t>
            </w:r>
          </w:p>
        </w:tc>
      </w:tr>
      <w:tr>
        <w:trPr/>
        <w:tc>
          <w:tcPr>
            <w:tcW w:w="3510"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Умови оплати праці</w:t>
            </w:r>
          </w:p>
        </w:tc>
        <w:tc>
          <w:tcPr>
            <w:tcW w:w="6242" w:type="dxa"/>
            <w:gridSpan w:val="2"/>
            <w:tcBorders/>
            <w:vAlign w:val="center"/>
          </w:tcPr>
          <w:p>
            <w:pPr>
              <w:pStyle w:val="csd270a203"/>
              <w:widowControl/>
              <w:suppressAutoHyphens w:val="true"/>
              <w:spacing w:beforeAutospacing="0" w:before="0" w:afterAutospacing="0" w:after="0"/>
              <w:jc w:val="both"/>
              <w:rPr>
                <w:rStyle w:val="csd2c743de"/>
                <w:color w:val="000000"/>
                <w:sz w:val="28"/>
                <w:szCs w:val="28"/>
              </w:rPr>
            </w:pPr>
            <w:r>
              <w:rPr>
                <w:rStyle w:val="csd2c743de"/>
                <w:rFonts w:eastAsia="Times New Roman" w:cs="Times New Roman"/>
                <w:color w:val="000000"/>
                <w:kern w:val="0"/>
                <w:sz w:val="28"/>
                <w:szCs w:val="28"/>
                <w:lang w:val="uk-UA" w:bidi="ar-SA"/>
              </w:rPr>
              <w:t>Посадовий оклад – 29 805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w:t>
            </w:r>
            <w:r>
              <w:rPr>
                <w:rStyle w:val="csd2c743de"/>
                <w:rFonts w:eastAsia="Times New Roman" w:cs="Times New Roman"/>
                <w:color w:val="000000"/>
                <w:kern w:val="0"/>
                <w:sz w:val="28"/>
                <w:szCs w:val="28"/>
                <w:lang w:val="en-US" w:bidi="ar-SA"/>
              </w:rPr>
              <w:t>6</w:t>
            </w:r>
            <w:r>
              <w:rPr>
                <w:rStyle w:val="csd2c743de"/>
                <w:rFonts w:eastAsia="Times New Roman" w:cs="Times New Roman"/>
                <w:color w:val="000000"/>
                <w:kern w:val="0"/>
                <w:sz w:val="28"/>
                <w:szCs w:val="28"/>
                <w:lang w:val="uk-UA" w:bidi="ar-SA"/>
              </w:rPr>
              <w:t xml:space="preserve"> рік;</w:t>
            </w:r>
          </w:p>
          <w:p>
            <w:pPr>
              <w:pStyle w:val="csd270a203"/>
              <w:widowControl/>
              <w:suppressAutoHyphens w:val="true"/>
              <w:spacing w:beforeAutospacing="0" w:before="0" w:afterAutospacing="0" w:after="0"/>
              <w:jc w:val="both"/>
              <w:rPr>
                <w:bCs/>
                <w:sz w:val="28"/>
                <w:szCs w:val="28"/>
              </w:rPr>
            </w:pPr>
            <w:r>
              <w:rPr>
                <w:rStyle w:val="csd2c743de"/>
                <w:rFonts w:eastAsia="Times New Roman" w:cs="Times New Roman"/>
                <w:color w:val="000000"/>
                <w:kern w:val="0"/>
                <w:sz w:val="28"/>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915" w:hRule="atLeast"/>
        </w:trPr>
        <w:tc>
          <w:tcPr>
            <w:tcW w:w="3510"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Інформація про строковість</w:t>
            </w:r>
          </w:p>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чи безстроковість</w:t>
            </w:r>
          </w:p>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призначення на посаду</w:t>
            </w:r>
          </w:p>
        </w:tc>
        <w:tc>
          <w:tcPr>
            <w:tcW w:w="6242" w:type="dxa"/>
            <w:gridSpan w:val="2"/>
            <w:tcBorders/>
          </w:tcPr>
          <w:p>
            <w:pPr>
              <w:pStyle w:val="Style22"/>
              <w:widowControl/>
              <w:suppressAutoHyphens w:val="true"/>
              <w:spacing w:lineRule="auto" w:line="240" w:before="0" w:after="0"/>
              <w:ind w:hanging="0"/>
              <w:jc w:val="left"/>
              <w:rPr>
                <w:bCs/>
                <w:szCs w:val="28"/>
              </w:rPr>
            </w:pPr>
            <w:r>
              <w:rPr>
                <w:rFonts w:eastAsia="Times New Roman" w:cs="Times New Roman"/>
                <w:bCs/>
                <w:kern w:val="0"/>
                <w:szCs w:val="28"/>
                <w:lang w:val="uk-UA" w:bidi="ar-SA"/>
              </w:rPr>
              <w:t>Строково, в</w:t>
            </w:r>
            <w:r>
              <w:rPr>
                <w:rFonts w:eastAsia="Times New Roman" w:cs="Times New Roman"/>
                <w:kern w:val="0"/>
                <w:szCs w:val="28"/>
                <w:lang w:val="uk-UA" w:bidi="ar-SA"/>
              </w:rPr>
              <w:t>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752" w:type="dxa"/>
            <w:gridSpan w:val="4"/>
            <w:tcBorders/>
          </w:tcPr>
          <w:p>
            <w:pPr>
              <w:pStyle w:val="Default"/>
              <w:widowControl/>
              <w:suppressAutoHyphens w:val="true"/>
              <w:spacing w:before="0" w:after="0"/>
              <w:jc w:val="center"/>
              <w:rPr>
                <w:b/>
                <w:bCs/>
                <w:color w:val="auto"/>
                <w:sz w:val="28"/>
                <w:szCs w:val="28"/>
                <w:lang w:eastAsia="ru-RU"/>
              </w:rPr>
            </w:pPr>
            <w:r>
              <w:rPr>
                <w:rFonts w:eastAsia="Times New Roman" w:cs="Times New Roman"/>
                <w:b/>
                <w:bCs/>
                <w:color w:val="auto"/>
                <w:kern w:val="0"/>
                <w:sz w:val="28"/>
                <w:szCs w:val="28"/>
                <w:lang w:val="uk-UA" w:eastAsia="ru-RU" w:bidi="ar-SA"/>
              </w:rPr>
              <w:t>Кваліфікаційні вимоги</w:t>
            </w:r>
          </w:p>
          <w:p>
            <w:pPr>
              <w:pStyle w:val="Default"/>
              <w:widowControl/>
              <w:suppressAutoHyphens w:val="true"/>
              <w:spacing w:before="0" w:after="0"/>
              <w:jc w:val="center"/>
              <w:rPr>
                <w:b/>
                <w:i/>
                <w:iCs/>
                <w:sz w:val="28"/>
                <w:szCs w:val="28"/>
              </w:rPr>
            </w:pPr>
            <w:r>
              <w:rPr>
                <w:b/>
                <w:i/>
                <w:iCs/>
                <w:sz w:val="28"/>
                <w:szCs w:val="28"/>
              </w:rPr>
            </w:r>
          </w:p>
          <w:p>
            <w:pPr>
              <w:pStyle w:val="Default"/>
              <w:widowControl/>
              <w:suppressAutoHyphens w:val="true"/>
              <w:spacing w:before="0" w:after="0"/>
              <w:jc w:val="center"/>
              <w:rPr>
                <w:b/>
                <w:i/>
                <w:iCs/>
                <w:spacing w:val="-2"/>
                <w:sz w:val="28"/>
                <w:szCs w:val="28"/>
              </w:rPr>
            </w:pPr>
            <w:r>
              <w:rPr>
                <w:rFonts w:eastAsia="Times New Roman" w:cs="Times New Roman"/>
                <w:b/>
                <w:i/>
                <w:iCs/>
                <w:kern w:val="0"/>
                <w:sz w:val="28"/>
                <w:szCs w:val="28"/>
                <w:lang w:val="uk-UA" w:eastAsia="uk-UA" w:bidi="ar-SA"/>
              </w:rPr>
              <w:t>Обов’язковою</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вимогою</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до</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осіб,</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які</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претендують</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на</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посаду,</w:t>
            </w:r>
            <w:r>
              <w:rPr>
                <w:rFonts w:eastAsia="Times New Roman" w:cs="Times New Roman"/>
                <w:b/>
                <w:i/>
                <w:iCs/>
                <w:spacing w:val="80"/>
                <w:kern w:val="0"/>
                <w:sz w:val="28"/>
                <w:szCs w:val="28"/>
                <w:lang w:val="uk-UA" w:eastAsia="uk-UA" w:bidi="ar-SA"/>
              </w:rPr>
              <w:t xml:space="preserve"> </w:t>
            </w:r>
            <w:r>
              <w:rPr>
                <w:rFonts w:eastAsia="Times New Roman" w:cs="Times New Roman"/>
                <w:b/>
                <w:i/>
                <w:iCs/>
                <w:kern w:val="0"/>
                <w:sz w:val="28"/>
                <w:szCs w:val="28"/>
                <w:lang w:val="uk-UA" w:eastAsia="uk-UA" w:bidi="ar-SA"/>
              </w:rPr>
              <w:t>є наявність</w:t>
            </w:r>
            <w:r>
              <w:rPr>
                <w:rFonts w:eastAsia="Times New Roman" w:cs="Times New Roman"/>
                <w:b/>
                <w:i/>
                <w:iCs/>
                <w:spacing w:val="-1"/>
                <w:kern w:val="0"/>
                <w:sz w:val="28"/>
                <w:szCs w:val="28"/>
                <w:lang w:val="uk-UA" w:eastAsia="uk-UA" w:bidi="ar-SA"/>
              </w:rPr>
              <w:t xml:space="preserve"> </w:t>
            </w:r>
            <w:r>
              <w:rPr>
                <w:rFonts w:eastAsia="Times New Roman" w:cs="Times New Roman"/>
                <w:b/>
                <w:i/>
                <w:iCs/>
                <w:kern w:val="0"/>
                <w:sz w:val="28"/>
                <w:szCs w:val="28"/>
                <w:lang w:val="uk-UA" w:eastAsia="uk-UA" w:bidi="ar-SA"/>
              </w:rPr>
              <w:t xml:space="preserve">громадянства України та відсутність громадянства інших </w:t>
            </w:r>
            <w:r>
              <w:rPr>
                <w:rFonts w:eastAsia="Times New Roman" w:cs="Times New Roman"/>
                <w:b/>
                <w:i/>
                <w:iCs/>
                <w:spacing w:val="-2"/>
                <w:kern w:val="0"/>
                <w:sz w:val="28"/>
                <w:szCs w:val="28"/>
                <w:lang w:val="uk-UA" w:eastAsia="uk-UA" w:bidi="ar-SA"/>
              </w:rPr>
              <w:t>держав.</w:t>
            </w:r>
          </w:p>
          <w:p>
            <w:pPr>
              <w:pStyle w:val="Default"/>
              <w:widowControl/>
              <w:suppressAutoHyphens w:val="true"/>
              <w:spacing w:before="0" w:after="0"/>
              <w:jc w:val="center"/>
              <w:rPr>
                <w:b/>
                <w:bCs/>
                <w:color w:val="auto"/>
                <w:sz w:val="28"/>
                <w:szCs w:val="28"/>
                <w:lang w:eastAsia="ru-RU"/>
              </w:rPr>
            </w:pPr>
            <w:r>
              <w:rPr>
                <w:b/>
                <w:bCs/>
                <w:color w:val="auto"/>
                <w:sz w:val="28"/>
                <w:szCs w:val="28"/>
                <w:lang w:eastAsia="ru-RU"/>
              </w:rPr>
            </w:r>
          </w:p>
        </w:tc>
      </w:tr>
      <w:tr>
        <w:trPr/>
        <w:tc>
          <w:tcPr>
            <w:tcW w:w="540" w:type="dxa"/>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Освіта</w:t>
            </w:r>
          </w:p>
        </w:tc>
        <w:tc>
          <w:tcPr>
            <w:tcW w:w="6211" w:type="dxa"/>
            <w:tcBorders/>
            <w:vAlign w:val="center"/>
          </w:tcPr>
          <w:p>
            <w:pPr>
              <w:pStyle w:val="Normal"/>
              <w:widowControl/>
              <w:suppressAutoHyphens w:val="true"/>
              <w:spacing w:lineRule="auto" w:line="240" w:before="0" w:after="0"/>
              <w:ind w:hanging="0"/>
              <w:rPr>
                <w:bCs/>
                <w:szCs w:val="28"/>
              </w:rPr>
            </w:pPr>
            <w:r>
              <w:rPr>
                <w:rFonts w:eastAsia="Times New Roman" w:cs="Times New Roman"/>
                <w:kern w:val="0"/>
                <w:szCs w:val="28"/>
                <w:lang w:val="uk-UA" w:bidi="ar-SA"/>
              </w:rPr>
              <w:t xml:space="preserve">вища освіта за освітнім ступенем не нижче бакалавра, молодшого бакалавра у галузі знань «Управління та адміністрування», </w:t>
            </w:r>
            <w:r>
              <w:rPr>
                <w:rStyle w:val="rvts0"/>
                <w:rFonts w:eastAsia="Times New Roman"/>
                <w:kern w:val="0"/>
                <w:szCs w:val="28"/>
                <w:lang w:val="uk-UA" w:bidi="ar-SA"/>
              </w:rPr>
              <w:t>«Соціально-поведінкові науки»</w:t>
            </w:r>
            <w:r>
              <w:rPr>
                <w:rStyle w:val="rvts0"/>
                <w:rFonts w:eastAsia="Times New Roman"/>
                <w:kern w:val="0"/>
                <w:szCs w:val="28"/>
                <w:lang w:val="en-US" w:bidi="ar-SA"/>
              </w:rPr>
              <w:t xml:space="preserve">, </w:t>
            </w:r>
            <w:r>
              <w:rPr>
                <w:rStyle w:val="rvts0"/>
                <w:rFonts w:eastAsia="Times New Roman"/>
                <w:kern w:val="0"/>
                <w:szCs w:val="28"/>
                <w:lang w:val="uk-UA" w:bidi="ar-SA"/>
              </w:rPr>
              <w:t>«Математика та статистика».</w:t>
            </w:r>
          </w:p>
        </w:tc>
      </w:tr>
      <w:tr>
        <w:trPr/>
        <w:tc>
          <w:tcPr>
            <w:tcW w:w="540" w:type="dxa"/>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Досвід роботи</w:t>
            </w:r>
          </w:p>
        </w:tc>
        <w:tc>
          <w:tcPr>
            <w:tcW w:w="6211" w:type="dxa"/>
            <w:tcBorders/>
          </w:tcPr>
          <w:p>
            <w:pPr>
              <w:pStyle w:val="Normal"/>
              <w:widowControl/>
              <w:suppressAutoHyphens w:val="true"/>
              <w:spacing w:lineRule="auto" w:line="240" w:before="0" w:after="0"/>
              <w:ind w:hanging="0" w:left="28"/>
              <w:rPr>
                <w:bCs/>
                <w:szCs w:val="28"/>
              </w:rPr>
            </w:pPr>
            <w:r>
              <w:rPr>
                <w:rFonts w:eastAsia="Times New Roman" w:cs="Times New Roman"/>
                <w:kern w:val="0"/>
                <w:szCs w:val="28"/>
                <w:shd w:fill="FFFFFF" w:val="clear"/>
                <w:lang w:val="uk-UA" w:bidi="ar-SA"/>
              </w:rPr>
              <w:t>не потребує</w:t>
            </w:r>
          </w:p>
        </w:tc>
      </w:tr>
      <w:tr>
        <w:trPr>
          <w:trHeight w:val="495" w:hRule="atLeast"/>
        </w:trPr>
        <w:tc>
          <w:tcPr>
            <w:tcW w:w="540" w:type="dxa"/>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3.</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Володіння державною мовою</w:t>
            </w:r>
          </w:p>
        </w:tc>
        <w:tc>
          <w:tcPr>
            <w:tcW w:w="6211" w:type="dxa"/>
            <w:tcBorders/>
          </w:tcPr>
          <w:p>
            <w:pPr>
              <w:pStyle w:val="Normal"/>
              <w:widowControl/>
              <w:suppressAutoHyphens w:val="true"/>
              <w:spacing w:lineRule="auto" w:line="240" w:before="0" w:after="0"/>
              <w:ind w:hanging="0"/>
              <w:rPr>
                <w:bCs/>
                <w:szCs w:val="28"/>
              </w:rPr>
            </w:pPr>
            <w:r>
              <w:rPr>
                <w:rFonts w:eastAsia="Times New Roman" w:cs="Times New Roman"/>
                <w:kern w:val="0"/>
                <w:szCs w:val="28"/>
                <w:lang w:val="uk-UA" w:bidi="ar-SA"/>
              </w:rPr>
              <w:t>вільне володіння державною мовою</w:t>
            </w:r>
          </w:p>
        </w:tc>
      </w:tr>
      <w:tr>
        <w:trPr>
          <w:trHeight w:val="445" w:hRule="atLeast"/>
        </w:trPr>
        <w:tc>
          <w:tcPr>
            <w:tcW w:w="540" w:type="dxa"/>
            <w:tcBorders/>
          </w:tcPr>
          <w:p>
            <w:pPr>
              <w:pStyle w:val="Normal"/>
              <w:widowControl/>
              <w:suppressAutoHyphens w:val="true"/>
              <w:spacing w:before="0" w:after="0"/>
              <w:ind w:hanging="0"/>
              <w:jc w:val="center"/>
              <w:rPr>
                <w:b/>
                <w:szCs w:val="28"/>
              </w:rPr>
            </w:pPr>
            <w:r>
              <w:rPr>
                <w:b/>
                <w:szCs w:val="28"/>
              </w:rPr>
            </w:r>
          </w:p>
        </w:tc>
        <w:tc>
          <w:tcPr>
            <w:tcW w:w="9212" w:type="dxa"/>
            <w:gridSpan w:val="3"/>
            <w:tcBorders/>
          </w:tcPr>
          <w:p>
            <w:pPr>
              <w:pStyle w:val="Normal"/>
              <w:widowControl/>
              <w:suppressAutoHyphens w:val="true"/>
              <w:spacing w:before="0" w:after="0"/>
              <w:ind w:hanging="0" w:left="169"/>
              <w:jc w:val="center"/>
              <w:rPr>
                <w:b/>
                <w:szCs w:val="28"/>
              </w:rPr>
            </w:pPr>
            <w:r>
              <w:rPr>
                <w:rFonts w:eastAsia="Times New Roman" w:cs="Times New Roman"/>
                <w:b/>
                <w:kern w:val="0"/>
                <w:szCs w:val="28"/>
                <w:lang w:val="uk-UA" w:bidi="ar-SA"/>
              </w:rPr>
              <w:t>Вимоги до компетентності</w:t>
            </w:r>
          </w:p>
        </w:tc>
      </w:tr>
      <w:tr>
        <w:trPr>
          <w:trHeight w:val="360" w:hRule="atLeast"/>
        </w:trPr>
        <w:tc>
          <w:tcPr>
            <w:tcW w:w="3510" w:type="dxa"/>
            <w:gridSpan w:val="2"/>
            <w:tcBorders/>
          </w:tcPr>
          <w:p>
            <w:pPr>
              <w:pStyle w:val="Normal"/>
              <w:widowControl/>
              <w:suppressAutoHyphens w:val="true"/>
              <w:spacing w:before="0" w:after="0"/>
              <w:jc w:val="center"/>
              <w:rPr>
                <w:b/>
                <w:szCs w:val="28"/>
              </w:rPr>
            </w:pPr>
            <w:r>
              <w:rPr>
                <w:rFonts w:eastAsia="Times New Roman" w:cs="Times New Roman"/>
                <w:b/>
                <w:kern w:val="0"/>
                <w:szCs w:val="28"/>
                <w:lang w:val="uk-UA" w:bidi="ar-SA"/>
              </w:rPr>
              <w:t>Вимога</w:t>
            </w:r>
          </w:p>
        </w:tc>
        <w:tc>
          <w:tcPr>
            <w:tcW w:w="6242" w:type="dxa"/>
            <w:gridSpan w:val="2"/>
            <w:tcBorders/>
          </w:tcPr>
          <w:p>
            <w:pPr>
              <w:pStyle w:val="Normal"/>
              <w:widowControl/>
              <w:suppressAutoHyphens w:val="true"/>
              <w:spacing w:before="0" w:after="0"/>
              <w:jc w:val="center"/>
              <w:rPr>
                <w:b/>
                <w:szCs w:val="28"/>
              </w:rPr>
            </w:pPr>
            <w:r>
              <w:rPr>
                <w:rFonts w:eastAsia="Times New Roman" w:cs="Times New Roman"/>
                <w:b/>
                <w:kern w:val="0"/>
                <w:szCs w:val="28"/>
                <w:lang w:val="uk-UA" w:bidi="ar-SA"/>
              </w:rPr>
              <w:t>Компоненти вимоги</w:t>
            </w:r>
          </w:p>
        </w:tc>
      </w:tr>
      <w:tr>
        <w:trPr>
          <w:trHeight w:val="360" w:hRule="atLeast"/>
        </w:trPr>
        <w:tc>
          <w:tcPr>
            <w:tcW w:w="540" w:type="dxa"/>
            <w:tcBorders/>
          </w:tcPr>
          <w:p>
            <w:pPr>
              <w:pStyle w:val="Normal"/>
              <w:widowControl/>
              <w:suppressAutoHyphens w:val="true"/>
              <w:spacing w:lineRule="auto" w:line="240" w:before="0" w:after="0"/>
              <w:ind w:hanging="0"/>
              <w:rPr>
                <w:szCs w:val="28"/>
              </w:rPr>
            </w:pPr>
            <w:r>
              <w:rPr>
                <w:rFonts w:eastAsia="Times New Roman" w:cs="Times New Roman"/>
                <w:kern w:val="0"/>
                <w:szCs w:val="28"/>
                <w:lang w:val="uk-UA" w:bidi="ar-SA"/>
              </w:rPr>
              <w:t>1.</w:t>
            </w:r>
          </w:p>
        </w:tc>
        <w:tc>
          <w:tcPr>
            <w:tcW w:w="2970" w:type="dxa"/>
            <w:tcBorders/>
          </w:tcPr>
          <w:p>
            <w:pPr>
              <w:pStyle w:val="Normal"/>
              <w:widowControl/>
              <w:suppressAutoHyphens w:val="true"/>
              <w:spacing w:before="0" w:after="0"/>
              <w:ind w:hanging="0"/>
              <w:jc w:val="left"/>
              <w:rPr>
                <w:szCs w:val="28"/>
              </w:rPr>
            </w:pPr>
            <w:r>
              <w:rPr>
                <w:rFonts w:eastAsia="Times New Roman" w:cs="Times New Roman"/>
                <w:color w:val="000000"/>
                <w:kern w:val="0"/>
                <w:szCs w:val="28"/>
                <w:lang w:val="uk-UA" w:bidi="ar-SA"/>
              </w:rPr>
              <w:t>Якісне виконання поставлених завдань</w:t>
            </w:r>
          </w:p>
        </w:tc>
        <w:tc>
          <w:tcPr>
            <w:tcW w:w="6242" w:type="dxa"/>
            <w:gridSpan w:val="2"/>
            <w:tcBorders/>
          </w:tcPr>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чітке і точне формулювання мети, цілей і завдань службової діяльності;</w:t>
            </w:r>
          </w:p>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комплексний підхід до виконання завдань, виявлення ризиків;</w:t>
            </w:r>
          </w:p>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 xml:space="preserve"> </w:t>
            </w:r>
            <w:r>
              <w:rPr>
                <w:rFonts w:eastAsia="Times New Roman" w:cs="Times New Roman"/>
                <w:color w:val="000000"/>
                <w:kern w:val="0"/>
                <w:szCs w:val="28"/>
                <w:lang w:val="uk-UA" w:bidi="ar-SA"/>
              </w:rPr>
              <w:t>розуміння змісту завдання і його кінцевих результатів, самостійне визначення можливих шляхів досягнення.</w:t>
            </w:r>
          </w:p>
        </w:tc>
      </w:tr>
      <w:tr>
        <w:trPr>
          <w:trHeight w:val="234" w:hRule="atLeast"/>
        </w:trPr>
        <w:tc>
          <w:tcPr>
            <w:tcW w:w="540" w:type="dxa"/>
            <w:tcBorders/>
          </w:tcPr>
          <w:p>
            <w:pPr>
              <w:pStyle w:val="Normal"/>
              <w:widowControl/>
              <w:suppressAutoHyphens w:val="true"/>
              <w:spacing w:before="0" w:after="0"/>
              <w:ind w:hanging="0"/>
              <w:rPr>
                <w:szCs w:val="28"/>
              </w:rPr>
            </w:pPr>
            <w:r>
              <w:rPr>
                <w:rFonts w:eastAsia="Times New Roman" w:cs="Times New Roman"/>
                <w:kern w:val="0"/>
                <w:szCs w:val="28"/>
                <w:lang w:val="uk-UA" w:bidi="ar-SA"/>
              </w:rPr>
              <w:t>2.</w:t>
            </w:r>
          </w:p>
        </w:tc>
        <w:tc>
          <w:tcPr>
            <w:tcW w:w="2970" w:type="dxa"/>
            <w:tcBorders/>
          </w:tcPr>
          <w:p>
            <w:pPr>
              <w:pStyle w:val="Normal"/>
              <w:widowControl/>
              <w:suppressAutoHyphens w:val="true"/>
              <w:spacing w:before="0" w:after="0"/>
              <w:ind w:hanging="0" w:left="32" w:right="106"/>
              <w:rPr>
                <w:color w:val="000000"/>
                <w:szCs w:val="28"/>
              </w:rPr>
            </w:pPr>
            <w:r>
              <w:rPr>
                <w:rFonts w:eastAsia="Times New Roman" w:cs="Times New Roman"/>
                <w:color w:val="000000"/>
                <w:kern w:val="0"/>
                <w:szCs w:val="28"/>
                <w:lang w:val="uk-UA" w:bidi="ar-SA"/>
              </w:rPr>
              <w:t>Відповідальність, командна робота та взаємодія</w:t>
            </w:r>
          </w:p>
        </w:tc>
        <w:tc>
          <w:tcPr>
            <w:tcW w:w="6242" w:type="dxa"/>
            <w:gridSpan w:val="2"/>
            <w:tcBorders/>
          </w:tcPr>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здатність брати на себе зобов’язання, чітко їх дотримуватись і виконувати;</w:t>
            </w:r>
          </w:p>
          <w:p>
            <w:pPr>
              <w:pStyle w:val="Normal"/>
              <w:widowControl w:val="false"/>
              <w:numPr>
                <w:ilvl w:val="0"/>
                <w:numId w:val="2"/>
              </w:numPr>
              <w:tabs>
                <w:tab w:val="clear" w:pos="57"/>
                <w:tab w:val="left" w:pos="190" w:leader="none"/>
              </w:tabs>
              <w:suppressAutoHyphens w:val="true"/>
              <w:spacing w:lineRule="auto" w:line="240" w:before="0" w:after="0"/>
              <w:ind w:hanging="0" w:left="0"/>
              <w:rPr>
                <w:bCs/>
                <w:szCs w:val="28"/>
              </w:rPr>
            </w:pPr>
            <w:r>
              <w:rPr>
                <w:rFonts w:eastAsia="Times New Roman" w:cs="Times New Roman"/>
                <w:kern w:val="0"/>
                <w:szCs w:val="28"/>
                <w:lang w:val="uk-UA" w:bidi="ar-SA"/>
              </w:rPr>
              <w:t xml:space="preserve">вміння працювати в </w:t>
            </w:r>
            <w:r>
              <w:rPr>
                <w:rFonts w:eastAsia="Times New Roman" w:cs="Times New Roman"/>
                <w:color w:val="000000"/>
                <w:kern w:val="0"/>
                <w:szCs w:val="28"/>
                <w:lang w:val="uk-UA" w:bidi="ar-SA"/>
              </w:rPr>
              <w:t>команді та командної взаємодії.</w:t>
            </w:r>
          </w:p>
        </w:tc>
      </w:tr>
      <w:tr>
        <w:trPr>
          <w:trHeight w:val="198" w:hRule="atLeast"/>
        </w:trPr>
        <w:tc>
          <w:tcPr>
            <w:tcW w:w="540" w:type="dxa"/>
            <w:tcBorders/>
          </w:tcPr>
          <w:p>
            <w:pPr>
              <w:pStyle w:val="Normal"/>
              <w:widowControl/>
              <w:suppressAutoHyphens w:val="true"/>
              <w:spacing w:lineRule="auto" w:line="240" w:before="0" w:after="0"/>
              <w:ind w:hanging="0"/>
              <w:rPr>
                <w:szCs w:val="28"/>
              </w:rPr>
            </w:pPr>
            <w:r>
              <w:rPr>
                <w:rFonts w:eastAsia="Times New Roman" w:cs="Times New Roman"/>
                <w:kern w:val="0"/>
                <w:szCs w:val="28"/>
                <w:lang w:val="uk-UA" w:bidi="ar-SA"/>
              </w:rPr>
              <w:t>3.</w:t>
            </w:r>
          </w:p>
        </w:tc>
        <w:tc>
          <w:tcPr>
            <w:tcW w:w="2970" w:type="dxa"/>
            <w:tcBorders/>
          </w:tcPr>
          <w:p>
            <w:pPr>
              <w:pStyle w:val="Normal"/>
              <w:widowControl/>
              <w:suppressAutoHyphens w:val="true"/>
              <w:spacing w:before="0" w:after="0"/>
              <w:ind w:hanging="0" w:left="32" w:right="106"/>
              <w:jc w:val="left"/>
              <w:rPr>
                <w:bCs/>
                <w:szCs w:val="28"/>
              </w:rPr>
            </w:pPr>
            <w:r>
              <w:rPr>
                <w:rFonts w:eastAsia="Times New Roman" w:cs="Times New Roman"/>
                <w:color w:val="000000"/>
                <w:kern w:val="0"/>
                <w:szCs w:val="28"/>
                <w:lang w:val="uk-UA" w:bidi="ar-SA"/>
              </w:rPr>
              <w:t>Аналітичні здібності та обґрунтування власної позиції</w:t>
            </w:r>
          </w:p>
        </w:tc>
        <w:tc>
          <w:tcPr>
            <w:tcW w:w="6242" w:type="dxa"/>
            <w:gridSpan w:val="2"/>
            <w:tcBorders/>
          </w:tcPr>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 xml:space="preserve"> </w:t>
            </w:r>
            <w:r>
              <w:rPr>
                <w:rFonts w:eastAsia="Times New Roman" w:cs="Times New Roman"/>
                <w:color w:val="000000"/>
                <w:kern w:val="0"/>
                <w:szCs w:val="28"/>
                <w:lang w:val="uk-UA" w:bidi="ar-SA"/>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2"/>
              </w:numPr>
              <w:tabs>
                <w:tab w:val="clear" w:pos="57"/>
                <w:tab w:val="left" w:pos="190" w:leader="none"/>
              </w:tabs>
              <w:suppressAutoHyphens w:val="true"/>
              <w:spacing w:lineRule="auto" w:line="240" w:before="0" w:after="0"/>
              <w:ind w:hanging="0" w:left="0"/>
              <w:rPr>
                <w:color w:val="000000"/>
                <w:szCs w:val="28"/>
              </w:rPr>
            </w:pPr>
            <w:r>
              <w:rPr>
                <w:rFonts w:eastAsia="Times New Roman" w:cs="Times New Roman"/>
                <w:color w:val="000000"/>
                <w:kern w:val="0"/>
                <w:szCs w:val="28"/>
                <w:lang w:val="uk-UA" w:bidi="ar-SA"/>
              </w:rPr>
              <w:t>вміння встановлювати причинно-наслідкові зв’язки;</w:t>
            </w:r>
          </w:p>
          <w:p>
            <w:pPr>
              <w:pStyle w:val="Normal"/>
              <w:widowControl w:val="false"/>
              <w:numPr>
                <w:ilvl w:val="0"/>
                <w:numId w:val="2"/>
              </w:numPr>
              <w:tabs>
                <w:tab w:val="clear" w:pos="57"/>
                <w:tab w:val="left" w:pos="190" w:leader="none"/>
              </w:tabs>
              <w:suppressAutoHyphens w:val="true"/>
              <w:spacing w:lineRule="auto" w:line="240" w:before="0" w:after="0"/>
              <w:ind w:hanging="0" w:left="0"/>
              <w:rPr>
                <w:bCs/>
                <w:szCs w:val="28"/>
              </w:rPr>
            </w:pPr>
            <w:r>
              <w:rPr>
                <w:rFonts w:eastAsia="Times New Roman" w:cs="Times New Roman"/>
                <w:color w:val="000000"/>
                <w:kern w:val="0"/>
                <w:szCs w:val="28"/>
                <w:lang w:val="uk-UA" w:bidi="ar-SA"/>
              </w:rPr>
              <w:t>вміння аналізувати інформацію та робити висновки, критично оцінювати ситуації, прогнозувати та робити власні умовиводи</w:t>
            </w:r>
            <w:r>
              <w:rPr>
                <w:rFonts w:eastAsia="Times New Roman" w:cs="Times New Roman"/>
                <w:bCs/>
                <w:color w:val="000000"/>
                <w:kern w:val="0"/>
                <w:szCs w:val="28"/>
                <w:lang w:val="uk-UA" w:bidi="ar-SA"/>
              </w:rPr>
              <w:t>.</w:t>
            </w:r>
          </w:p>
        </w:tc>
      </w:tr>
      <w:tr>
        <w:trPr>
          <w:trHeight w:val="378" w:hRule="atLeast"/>
        </w:trPr>
        <w:tc>
          <w:tcPr>
            <w:tcW w:w="9752" w:type="dxa"/>
            <w:gridSpan w:val="4"/>
            <w:tcBorders/>
          </w:tcPr>
          <w:p>
            <w:pPr>
              <w:pStyle w:val="Normal"/>
              <w:widowControl/>
              <w:suppressAutoHyphens w:val="true"/>
              <w:spacing w:before="0" w:after="0"/>
              <w:jc w:val="center"/>
              <w:rPr>
                <w:b/>
                <w:szCs w:val="28"/>
              </w:rPr>
            </w:pPr>
            <w:r>
              <w:rPr>
                <w:rFonts w:eastAsia="Times New Roman" w:cs="Times New Roman"/>
                <w:b/>
                <w:kern w:val="0"/>
                <w:szCs w:val="28"/>
                <w:lang w:val="uk-UA" w:bidi="ar-SA"/>
              </w:rPr>
              <w:t>Професійні знання</w:t>
            </w:r>
          </w:p>
        </w:tc>
      </w:tr>
      <w:tr>
        <w:trPr>
          <w:trHeight w:val="255" w:hRule="atLeast"/>
        </w:trPr>
        <w:tc>
          <w:tcPr>
            <w:tcW w:w="3541" w:type="dxa"/>
            <w:gridSpan w:val="3"/>
            <w:tcBorders/>
          </w:tcPr>
          <w:p>
            <w:pPr>
              <w:pStyle w:val="Default"/>
              <w:widowControl/>
              <w:suppressAutoHyphens w:val="true"/>
              <w:spacing w:before="0" w:after="0"/>
              <w:jc w:val="center"/>
              <w:rPr>
                <w:b/>
                <w:bCs/>
                <w:color w:val="auto"/>
                <w:sz w:val="28"/>
                <w:szCs w:val="28"/>
                <w:lang w:eastAsia="ru-RU"/>
              </w:rPr>
            </w:pPr>
            <w:r>
              <w:rPr>
                <w:rFonts w:eastAsia="Times New Roman" w:cs="Times New Roman"/>
                <w:b/>
                <w:bCs/>
                <w:color w:val="auto"/>
                <w:kern w:val="0"/>
                <w:sz w:val="28"/>
                <w:szCs w:val="28"/>
                <w:lang w:val="uk-UA" w:eastAsia="ru-RU" w:bidi="ar-SA"/>
              </w:rPr>
              <w:t>Вимога</w:t>
            </w:r>
          </w:p>
        </w:tc>
        <w:tc>
          <w:tcPr>
            <w:tcW w:w="6211" w:type="dxa"/>
            <w:tcBorders/>
          </w:tcPr>
          <w:p>
            <w:pPr>
              <w:pStyle w:val="Normal"/>
              <w:widowControl/>
              <w:suppressAutoHyphens w:val="true"/>
              <w:spacing w:before="0" w:after="0"/>
              <w:jc w:val="center"/>
              <w:rPr>
                <w:b/>
                <w:szCs w:val="28"/>
              </w:rPr>
            </w:pPr>
            <w:r>
              <w:rPr>
                <w:rFonts w:eastAsia="Times New Roman" w:cs="Times New Roman"/>
                <w:b/>
                <w:kern w:val="0"/>
                <w:szCs w:val="28"/>
                <w:lang w:val="uk-UA" w:bidi="ar-SA"/>
              </w:rPr>
              <w:t>Компоненти вимоги</w:t>
            </w:r>
          </w:p>
        </w:tc>
      </w:tr>
      <w:tr>
        <w:trPr>
          <w:trHeight w:val="210" w:hRule="atLeast"/>
        </w:trPr>
        <w:tc>
          <w:tcPr>
            <w:tcW w:w="540" w:type="dxa"/>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Знання законодавства</w:t>
            </w:r>
          </w:p>
        </w:tc>
        <w:tc>
          <w:tcPr>
            <w:tcW w:w="6211" w:type="dxa"/>
            <w:tcBorders/>
          </w:tcPr>
          <w:p>
            <w:pPr>
              <w:pStyle w:val="Normal"/>
              <w:widowControl/>
              <w:suppressAutoHyphens w:val="true"/>
              <w:spacing w:before="0" w:after="0"/>
              <w:ind w:hanging="0"/>
              <w:rPr>
                <w:szCs w:val="28"/>
              </w:rPr>
            </w:pPr>
            <w:r>
              <w:rPr>
                <w:rFonts w:eastAsia="Times New Roman" w:cs="Times New Roman"/>
                <w:kern w:val="0"/>
                <w:szCs w:val="28"/>
                <w:lang w:val="uk-UA" w:bidi="ar-SA"/>
              </w:rPr>
              <w:t>Знання:</w:t>
            </w:r>
          </w:p>
          <w:p>
            <w:pPr>
              <w:pStyle w:val="Normal"/>
              <w:widowControl/>
              <w:suppressAutoHyphens w:val="true"/>
              <w:spacing w:before="0" w:after="0"/>
              <w:ind w:hanging="0"/>
              <w:rPr>
                <w:szCs w:val="28"/>
              </w:rPr>
            </w:pPr>
            <w:r>
              <w:rPr>
                <w:rFonts w:eastAsia="Times New Roman" w:cs="Times New Roman"/>
                <w:kern w:val="0"/>
                <w:szCs w:val="28"/>
                <w:lang w:val="uk-UA" w:bidi="ar-SA"/>
              </w:rPr>
              <w:t>- Конституції України;</w:t>
            </w:r>
          </w:p>
          <w:p>
            <w:pPr>
              <w:pStyle w:val="Normal"/>
              <w:widowControl/>
              <w:suppressAutoHyphens w:val="true"/>
              <w:spacing w:before="0" w:after="0"/>
              <w:ind w:hanging="0"/>
              <w:rPr>
                <w:szCs w:val="28"/>
              </w:rPr>
            </w:pPr>
            <w:r>
              <w:rPr>
                <w:rFonts w:eastAsia="Times New Roman" w:cs="Times New Roman"/>
                <w:kern w:val="0"/>
                <w:szCs w:val="28"/>
                <w:lang w:val="uk-UA" w:bidi="ar-SA"/>
              </w:rPr>
              <w:t>- Закону України «Про запобігання корупції»;</w:t>
            </w:r>
          </w:p>
          <w:p>
            <w:pPr>
              <w:pStyle w:val="Normal"/>
              <w:widowControl/>
              <w:suppressAutoHyphens w:val="true"/>
              <w:spacing w:before="0" w:after="0"/>
              <w:ind w:hanging="0"/>
              <w:rPr>
                <w:szCs w:val="28"/>
              </w:rPr>
            </w:pPr>
            <w:r>
              <w:rPr>
                <w:rFonts w:eastAsia="Times New Roman" w:cs="Times New Roman"/>
                <w:kern w:val="0"/>
                <w:szCs w:val="28"/>
                <w:lang w:val="uk-UA" w:bidi="ar-SA"/>
              </w:rPr>
              <w:t>- Закону України «Про державну службу»;</w:t>
            </w:r>
          </w:p>
          <w:p>
            <w:pPr>
              <w:pStyle w:val="Normal"/>
              <w:widowControl/>
              <w:suppressAutoHyphens w:val="true"/>
              <w:spacing w:before="0" w:after="0"/>
              <w:ind w:firstLine="3"/>
              <w:rPr>
                <w:szCs w:val="28"/>
                <w:lang w:val="ru-RU" w:eastAsia="uk-UA"/>
              </w:rPr>
            </w:pPr>
            <w:r>
              <w:rPr>
                <w:rFonts w:eastAsia="Times New Roman" w:cs="Times New Roman"/>
                <w:kern w:val="0"/>
                <w:szCs w:val="28"/>
                <w:lang w:val="uk-UA" w:bidi="ar-SA"/>
              </w:rPr>
              <w:t>-</w:t>
            </w:r>
            <w:r>
              <w:rPr>
                <w:rFonts w:eastAsia="Times New Roman" w:cs="Times New Roman"/>
                <w:kern w:val="0"/>
                <w:szCs w:val="28"/>
                <w:lang w:val="uk-UA" w:eastAsia="uk-UA" w:bidi="ar-SA"/>
              </w:rPr>
              <w:t xml:space="preserve"> Закону України </w:t>
            </w:r>
            <w:r>
              <w:rPr>
                <w:rFonts w:eastAsia="Times New Roman" w:cs="Times New Roman"/>
                <w:kern w:val="0"/>
                <w:szCs w:val="28"/>
                <w:lang w:val="uk-UA" w:bidi="ar-SA"/>
              </w:rPr>
              <w:t>«</w:t>
            </w:r>
            <w:r>
              <w:rPr>
                <w:rFonts w:eastAsia="Times New Roman" w:cs="Times New Roman"/>
                <w:kern w:val="0"/>
                <w:szCs w:val="28"/>
                <w:lang w:val="uk-UA" w:eastAsia="uk-UA" w:bidi="ar-SA"/>
              </w:rPr>
              <w:t>Про доступ до публічної інформації</w:t>
            </w:r>
            <w:r>
              <w:rPr>
                <w:rFonts w:eastAsia="Times New Roman" w:cs="Times New Roman"/>
                <w:kern w:val="0"/>
                <w:szCs w:val="28"/>
                <w:lang w:val="uk-UA" w:bidi="ar-SA"/>
              </w:rPr>
              <w:t>»;</w:t>
            </w:r>
          </w:p>
          <w:p>
            <w:pPr>
              <w:pStyle w:val="Normal"/>
              <w:widowControl/>
              <w:suppressAutoHyphens w:val="true"/>
              <w:spacing w:before="0" w:after="0"/>
              <w:ind w:hanging="0"/>
              <w:rPr>
                <w:szCs w:val="28"/>
              </w:rPr>
            </w:pPr>
            <w:r>
              <w:rPr>
                <w:rFonts w:eastAsia="Times New Roman" w:cs="Times New Roman"/>
                <w:kern w:val="0"/>
                <w:szCs w:val="28"/>
                <w:lang w:val="ru-RU" w:eastAsia="uk-UA" w:bidi="ar-SA"/>
              </w:rPr>
              <w:t xml:space="preserve">- </w:t>
            </w:r>
            <w:r>
              <w:rPr>
                <w:rFonts w:eastAsia="Times New Roman" w:cs="Times New Roman"/>
                <w:kern w:val="0"/>
                <w:szCs w:val="28"/>
                <w:lang w:val="uk-UA" w:eastAsia="uk-UA" w:bidi="ar-SA"/>
              </w:rPr>
              <w:t xml:space="preserve">Закону України </w:t>
            </w:r>
            <w:r>
              <w:rPr>
                <w:rFonts w:eastAsia="Times New Roman" w:cs="Times New Roman"/>
                <w:kern w:val="0"/>
                <w:szCs w:val="28"/>
                <w:lang w:val="uk-UA" w:bidi="ar-SA"/>
              </w:rPr>
              <w:t>«</w:t>
            </w:r>
            <w:r>
              <w:rPr>
                <w:rFonts w:eastAsia="Times New Roman" w:cs="Times New Roman"/>
                <w:kern w:val="0"/>
                <w:szCs w:val="28"/>
                <w:lang w:val="uk-UA" w:eastAsia="uk-UA" w:bidi="ar-SA"/>
              </w:rPr>
              <w:t>Про захист персональних даних</w:t>
            </w:r>
            <w:r>
              <w:rPr>
                <w:rFonts w:eastAsia="Times New Roman" w:cs="Times New Roman"/>
                <w:kern w:val="0"/>
                <w:szCs w:val="28"/>
                <w:lang w:val="uk-UA" w:bidi="ar-SA"/>
              </w:rPr>
              <w:t>»</w:t>
            </w:r>
            <w:r>
              <w:rPr>
                <w:rFonts w:eastAsia="Times New Roman" w:cs="Times New Roman"/>
                <w:kern w:val="0"/>
                <w:szCs w:val="28"/>
                <w:lang w:val="uk-UA" w:eastAsia="uk-UA" w:bidi="ar-SA"/>
              </w:rPr>
              <w:t>.</w:t>
            </w:r>
          </w:p>
        </w:tc>
      </w:tr>
      <w:tr>
        <w:trPr>
          <w:trHeight w:val="210" w:hRule="atLeast"/>
        </w:trPr>
        <w:tc>
          <w:tcPr>
            <w:tcW w:w="540" w:type="dxa"/>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Знання законодавства у сфері</w:t>
            </w:r>
          </w:p>
        </w:tc>
        <w:tc>
          <w:tcPr>
            <w:tcW w:w="6211" w:type="dxa"/>
            <w:tcBorders/>
          </w:tcPr>
          <w:p>
            <w:pPr>
              <w:pStyle w:val="Normal"/>
              <w:widowControl/>
              <w:suppressAutoHyphens w:val="true"/>
              <w:spacing w:before="0" w:after="0"/>
              <w:ind w:hanging="0"/>
              <w:rPr>
                <w:szCs w:val="28"/>
                <w:lang w:eastAsia="zh-CN"/>
              </w:rPr>
            </w:pPr>
            <w:r>
              <w:rPr>
                <w:rFonts w:eastAsia="Times New Roman" w:cs="Times New Roman"/>
                <w:kern w:val="0"/>
                <w:szCs w:val="28"/>
                <w:lang w:val="uk-UA" w:bidi="ar-SA"/>
              </w:rPr>
              <w:t>Знання:</w:t>
            </w:r>
          </w:p>
          <w:p>
            <w:pPr>
              <w:pStyle w:val="NormalWeb"/>
              <w:widowControl/>
              <w:shd w:val="clear" w:color="auto" w:fill="FFFFFF"/>
              <w:suppressAutoHyphens w:val="true"/>
              <w:spacing w:beforeAutospacing="0" w:before="0" w:afterAutospacing="0" w:after="0"/>
              <w:ind w:firstLine="147"/>
              <w:jc w:val="both"/>
              <w:rPr>
                <w:bCs/>
                <w:sz w:val="28"/>
                <w:szCs w:val="28"/>
                <w:lang w:val="uk-UA" w:eastAsia="uk-UA"/>
              </w:rPr>
            </w:pPr>
            <w:r>
              <w:rPr>
                <w:rFonts w:eastAsia="Times New Roman" w:cs="Times New Roman"/>
                <w:bCs/>
                <w:kern w:val="0"/>
                <w:sz w:val="28"/>
                <w:szCs w:val="28"/>
                <w:lang w:val="uk-UA" w:eastAsia="uk-UA" w:bidi="ar-SA"/>
              </w:rPr>
              <w:t>- Закону України від 25.12.2015 № 922-VIІI «Про публічні закупівлі»;</w:t>
            </w:r>
          </w:p>
          <w:p>
            <w:pPr>
              <w:pStyle w:val="NormalWeb"/>
              <w:widowControl/>
              <w:shd w:val="clear" w:color="auto" w:fill="FFFFFF"/>
              <w:suppressAutoHyphens w:val="true"/>
              <w:spacing w:beforeAutospacing="0" w:before="0" w:afterAutospacing="0" w:after="0"/>
              <w:ind w:firstLine="147"/>
              <w:jc w:val="both"/>
              <w:rPr>
                <w:bCs/>
                <w:sz w:val="28"/>
                <w:szCs w:val="28"/>
                <w:lang w:val="uk-UA" w:eastAsia="uk-UA"/>
              </w:rPr>
            </w:pPr>
            <w:r>
              <w:rPr>
                <w:rFonts w:eastAsia="Times New Roman" w:cs="Times New Roman"/>
                <w:bCs/>
                <w:kern w:val="0"/>
                <w:sz w:val="28"/>
                <w:szCs w:val="28"/>
                <w:lang w:val="uk-UA" w:eastAsia="uk-UA" w:bidi="ar-SA"/>
              </w:rPr>
              <w:t>- Закону України від 16.07.1999 № 996-XIV «Про бухгалтерський облік та фінансову звітність в Україні»;</w:t>
            </w:r>
          </w:p>
          <w:p>
            <w:pPr>
              <w:pStyle w:val="NormalWeb"/>
              <w:widowControl/>
              <w:shd w:val="clear" w:color="auto" w:fill="FFFFFF"/>
              <w:tabs>
                <w:tab w:val="clear" w:pos="57"/>
                <w:tab w:val="left" w:pos="851" w:leader="none"/>
              </w:tabs>
              <w:suppressAutoHyphens w:val="true"/>
              <w:spacing w:beforeAutospacing="0" w:before="0" w:afterAutospacing="0" w:after="0"/>
              <w:ind w:firstLine="147"/>
              <w:jc w:val="both"/>
              <w:rPr>
                <w:bCs/>
                <w:sz w:val="28"/>
                <w:szCs w:val="28"/>
                <w:lang w:val="uk-UA" w:eastAsia="uk-UA"/>
              </w:rPr>
            </w:pPr>
            <w:r>
              <w:rPr>
                <w:rFonts w:eastAsia="Times New Roman" w:cs="Times New Roman"/>
                <w:bCs/>
                <w:kern w:val="0"/>
                <w:sz w:val="28"/>
                <w:szCs w:val="28"/>
                <w:lang w:val="uk-UA" w:eastAsia="uk-UA" w:bidi="ar-SA"/>
              </w:rPr>
              <w:t>- Закону України від 11.02.2015 № 183-VIII «Про відкритість використання публічних коштів»;</w:t>
            </w:r>
          </w:p>
          <w:p>
            <w:pPr>
              <w:pStyle w:val="NormalWeb"/>
              <w:widowControl/>
              <w:shd w:val="clear" w:color="auto" w:fill="FFFFFF"/>
              <w:suppressAutoHyphens w:val="true"/>
              <w:spacing w:beforeAutospacing="0" w:before="0" w:afterAutospacing="0" w:after="0"/>
              <w:ind w:firstLine="147"/>
              <w:jc w:val="both"/>
              <w:rPr>
                <w:bCs/>
                <w:sz w:val="28"/>
                <w:szCs w:val="28"/>
                <w:lang w:val="uk-UA" w:eastAsia="uk-UA"/>
              </w:rPr>
            </w:pPr>
            <w:r>
              <w:rPr>
                <w:rFonts w:eastAsia="Times New Roman" w:cs="Times New Roman"/>
                <w:bCs/>
                <w:kern w:val="0"/>
                <w:sz w:val="28"/>
                <w:szCs w:val="28"/>
                <w:lang w:val="uk-UA" w:eastAsia="uk-UA" w:bidi="ar-SA"/>
              </w:rPr>
              <w:t>- Бюджетного кодексу України від 08.07.2010 № 2456-VI;</w:t>
            </w:r>
          </w:p>
          <w:p>
            <w:pPr>
              <w:pStyle w:val="NormalWeb"/>
              <w:widowControl/>
              <w:shd w:val="clear" w:color="auto" w:fill="FFFFFF"/>
              <w:suppressAutoHyphens w:val="true"/>
              <w:spacing w:beforeAutospacing="0" w:before="0" w:afterAutospacing="0" w:after="0"/>
              <w:ind w:firstLine="147"/>
              <w:jc w:val="both"/>
              <w:rPr>
                <w:bCs/>
                <w:sz w:val="28"/>
                <w:szCs w:val="28"/>
                <w:lang w:val="uk-UA" w:eastAsia="uk-UA"/>
              </w:rPr>
            </w:pPr>
            <w:r>
              <w:rPr>
                <w:rFonts w:eastAsia="Times New Roman" w:cs="Times New Roman"/>
                <w:bCs/>
                <w:kern w:val="0"/>
                <w:sz w:val="28"/>
                <w:szCs w:val="28"/>
                <w:lang w:val="uk-UA" w:eastAsia="uk-UA" w:bidi="ar-SA"/>
              </w:rPr>
              <w:t>- Податкового кодексу України від 02.12.2010 № 2755- VI;</w:t>
            </w:r>
          </w:p>
          <w:p>
            <w:pPr>
              <w:pStyle w:val="Normal"/>
              <w:widowControl/>
              <w:suppressAutoHyphens w:val="true"/>
              <w:spacing w:lineRule="auto" w:line="240" w:before="0" w:after="0"/>
              <w:ind w:firstLine="147"/>
              <w:rPr>
                <w:szCs w:val="28"/>
              </w:rPr>
            </w:pPr>
            <w:r>
              <w:rPr>
                <w:rFonts w:eastAsia="Times New Roman" w:cs="Times New Roman"/>
                <w:bCs/>
                <w:kern w:val="0"/>
                <w:szCs w:val="28"/>
                <w:lang w:val="uk-UA" w:eastAsia="uk-UA" w:bidi="ar-SA"/>
              </w:rPr>
              <w:t>- наказу Міністерства фінансів України від 31.12.2013 № 1203 «Про затвердження Плану рахунків бухгалтерського обліку в державному секторі»</w:t>
            </w:r>
          </w:p>
        </w:tc>
      </w:tr>
    </w:tbl>
    <w:p>
      <w:pPr>
        <w:pStyle w:val="Style22"/>
        <w:rPr>
          <w:bCs/>
          <w:szCs w:val="28"/>
        </w:rPr>
      </w:pPr>
      <w:r>
        <w:rPr>
          <w:bCs/>
          <w:szCs w:val="28"/>
        </w:rPr>
      </w:r>
    </w:p>
    <w:sectPr>
      <w:headerReference w:type="even" r:id="rId2"/>
      <w:headerReference w:type="default" r:id="rId3"/>
      <w:headerReference w:type="first" r:id="rId4"/>
      <w:type w:val="nextPage"/>
      <w:pgSz w:w="11906" w:h="16838"/>
      <w:pgMar w:left="1701" w:right="567" w:gutter="0" w:header="567" w:top="624" w:footer="0" w:bottom="709"/>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Рам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02" w:hanging="360"/>
      </w:pPr>
      <w:rPr>
        <w:rFonts w:ascii="Times New Roman" w:hAnsi="Times New Roman" w:eastAsia="Times New Roman" w:cs="Times New Roman"/>
        <w:sz w:val="28"/>
        <w:szCs w:val="28"/>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embedSystemFonts/>
  <w:defaultTabStop w:val="57"/>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Strong" w:uiPriority="22" w:semiHidden="0" w:unhideWhenUsed="0" w:qFormat="1"/>
    <w:lsdException w:name="Emphasis" w:uiPriority="20" w:semiHidden="0" w:unhideWhenUsed="0" w:qFormat="1"/>
    <w:lsdException w:name="Normal (Web)" w:uiPriority="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link w:val="31"/>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выноски Знак"/>
    <w:basedOn w:val="DefaultParagraphFont"/>
    <w:link w:val="BalloonText"/>
    <w:uiPriority w:val="99"/>
    <w:semiHidden/>
    <w:qFormat/>
    <w:rsid w:val="00c6272e"/>
    <w:rPr>
      <w:rFonts w:ascii="Segoe UI" w:hAnsi="Segoe UI" w:cs="Segoe UI"/>
      <w:sz w:val="18"/>
      <w:szCs w:val="18"/>
      <w:lang w:eastAsia="ru-RU"/>
    </w:rPr>
  </w:style>
  <w:style w:type="character" w:styleId="UnresolvedMention" w:customStyle="1">
    <w:name w:val="Unresolved Mention"/>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ой текст Знак"/>
    <w:basedOn w:val="DefaultParagraphFont"/>
    <w:qFormat/>
    <w:rsid w:val="000333ef"/>
    <w:rPr>
      <w:sz w:val="28"/>
      <w:lang w:eastAsia="ru-RU"/>
    </w:rPr>
  </w:style>
  <w:style w:type="character" w:styleId="3" w:customStyle="1">
    <w:name w:val="Основной текст с отступом 3 Знак"/>
    <w:basedOn w:val="DefaultParagraphFont"/>
    <w:link w:val="BodyTextIndent3"/>
    <w:uiPriority w:val="99"/>
    <w:qFormat/>
    <w:rsid w:val="001f4aca"/>
    <w:rPr>
      <w:rFonts w:eastAsia="Calibri" w:cs="" w:cstheme="minorBidi" w:eastAsiaTheme="minorHAnsi"/>
      <w:sz w:val="16"/>
      <w:szCs w:val="16"/>
      <w:lang w:eastAsia="en-US"/>
    </w:rPr>
  </w:style>
  <w:style w:type="character" w:styleId="Style12" w:customStyle="1">
    <w:name w:val="Верхний колонтитул Знак"/>
    <w:basedOn w:val="DefaultParagraphFont"/>
    <w:uiPriority w:val="99"/>
    <w:qFormat/>
    <w:rsid w:val="00125745"/>
    <w:rPr>
      <w:sz w:val="28"/>
      <w:lang w:eastAsia="ru-RU"/>
    </w:rPr>
  </w:style>
  <w:style w:type="character" w:styleId="Style13" w:customStyle="1">
    <w:name w:val="Подзаголовок Знак"/>
    <w:basedOn w:val="DefaultParagraphFont"/>
    <w:uiPriority w:val="99"/>
    <w:qFormat/>
    <w:rsid w:val="00de0c41"/>
    <w:rPr>
      <w:b/>
      <w:sz w:val="28"/>
    </w:rPr>
  </w:style>
  <w:style w:type="character" w:styleId="rvts0" w:customStyle="1">
    <w:name w:val="rvts0"/>
    <w:qFormat/>
    <w:rsid w:val="005a46ff"/>
    <w:rPr>
      <w:rFonts w:cs="Times New Roman"/>
    </w:rPr>
  </w:style>
  <w:style w:type="character" w:styleId="2" w:customStyle="1">
    <w:name w:val="Основной текст с отступом 2 Знак"/>
    <w:basedOn w:val="DefaultParagraphFont"/>
    <w:link w:val="BodyTextIndent2"/>
    <w:qFormat/>
    <w:rsid w:val="00284857"/>
    <w:rPr>
      <w:sz w:val="28"/>
      <w:lang w:eastAsia="ru-RU"/>
    </w:rPr>
  </w:style>
  <w:style w:type="character" w:styleId="Style14" w:customStyle="1">
    <w:name w:val="Основной текст с отступом Знак"/>
    <w:basedOn w:val="DefaultParagraphFont"/>
    <w:qFormat/>
    <w:rsid w:val="00284857"/>
    <w:rPr>
      <w:sz w:val="28"/>
      <w:lang w:eastAsia="ru-RU"/>
    </w:rPr>
  </w:style>
  <w:style w:type="character" w:styleId="csd2c743de" w:customStyle="1">
    <w:name w:val="csd2c743de"/>
    <w:basedOn w:val="DefaultParagraphFont"/>
    <w:qFormat/>
    <w:rsid w:val="00da4f7c"/>
    <w:rPr/>
  </w:style>
  <w:style w:type="character" w:styleId="31" w:customStyle="1">
    <w:name w:val="Заголовок 3 Знак"/>
    <w:basedOn w:val="DefaultParagraphFont"/>
    <w:qFormat/>
    <w:rsid w:val="007d5326"/>
    <w:rPr>
      <w:b/>
      <w:i/>
      <w:sz w:val="28"/>
      <w:lang w:eastAsia="ru-RU"/>
    </w:rPr>
  </w:style>
  <w:style w:type="character" w:styleId="Style15">
    <w:name w:val="Підзаголовок Знак"/>
    <w:basedOn w:val="DefaultParagraphFont"/>
    <w:qFormat/>
    <w:rPr>
      <w:b/>
      <w:sz w:val="28"/>
    </w:rPr>
  </w:style>
  <w:style w:type="character" w:styleId="Style16">
    <w:name w:val="Верхній колонтитул Знак"/>
    <w:basedOn w:val="DefaultParagraphFont"/>
    <w:qFormat/>
    <w:rPr>
      <w:sz w:val="28"/>
      <w:lang w:eastAsia="ru-RU"/>
    </w:rPr>
  </w:style>
  <w:style w:type="character" w:styleId="32">
    <w:name w:val="Основний текст з відступом 3 Знак"/>
    <w:basedOn w:val="DefaultParagraphFont"/>
    <w:qFormat/>
    <w:rPr>
      <w:rFonts w:eastAsia="Calibri" w:cs="Times New Roman"/>
      <w:sz w:val="16"/>
      <w:szCs w:val="16"/>
      <w:lang w:eastAsia="en-US"/>
    </w:rPr>
  </w:style>
  <w:style w:type="character" w:styleId="Style17">
    <w:name w:val="Основний текст Знак"/>
    <w:basedOn w:val="DefaultParagraphFont"/>
    <w:qFormat/>
    <w:rPr>
      <w:sz w:val="28"/>
      <w:lang w:eastAsia="ru-RU"/>
    </w:rPr>
  </w:style>
  <w:style w:type="character" w:styleId="1">
    <w:name w:val="Незакрита згадка1"/>
    <w:basedOn w:val="DefaultParagraphFont"/>
    <w:qFormat/>
    <w:rPr>
      <w:color w:val="605E5C"/>
      <w:shd w:fill="E1DFDD" w:val="clear"/>
    </w:rPr>
  </w:style>
  <w:style w:type="character" w:styleId="Style18">
    <w:name w:val="Текст у виносці Знак"/>
    <w:basedOn w:val="DefaultParagraphFont"/>
    <w:qFormat/>
    <w:rPr>
      <w:rFonts w:ascii="Segoe UI" w:hAnsi="Segoe UI" w:cs="Segoe UI"/>
      <w:sz w:val="18"/>
      <w:szCs w:val="18"/>
      <w:lang w:eastAsia="ru-RU"/>
    </w:rPr>
  </w:style>
  <w:style w:type="paragraph" w:styleId="Style19">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0">
    <w:name w:val="Покажчик"/>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Покажчик (user)"/>
    <w:basedOn w:val="Normal"/>
    <w:qFormat/>
    <w:pPr>
      <w:suppressLineNumbers/>
    </w:pPr>
    <w:rPr>
      <w:rFonts w:cs="Arial"/>
    </w:rPr>
  </w:style>
  <w:style w:type="paragraph" w:styleId="Style21">
    <w:name w:val="Верхній і нижній колонтитули"/>
    <w:basedOn w:val="Normal"/>
    <w:qFormat/>
    <w:pPr/>
    <w:rPr/>
  </w:style>
  <w:style w:type="paragraph" w:styleId="user2">
    <w:name w:val="Верхній і нижній колонтитули (user)"/>
    <w:basedOn w:val="Normal"/>
    <w:qFormat/>
    <w:pPr/>
    <w:rPr/>
  </w:style>
  <w:style w:type="paragraph" w:styleId="Footer">
    <w:name w:val="footer"/>
    <w:basedOn w:val="Normal"/>
    <w:rsid w:val="00a0742f"/>
    <w:pPr>
      <w:tabs>
        <w:tab w:val="clear" w:pos="57"/>
        <w:tab w:val="center" w:pos="4153" w:leader="none"/>
        <w:tab w:val="right" w:pos="8306" w:leader="none"/>
      </w:tabs>
    </w:pPr>
    <w:rPr/>
  </w:style>
  <w:style w:type="paragraph" w:styleId="Style22" w:customStyle="1">
    <w:name w:val="Нормальний текст"/>
    <w:basedOn w:val="Normal"/>
    <w:qFormat/>
    <w:rsid w:val="00a0742f"/>
    <w:pPr>
      <w:spacing w:before="120" w:after="0"/>
      <w:ind w:firstLine="567"/>
    </w:pPr>
    <w:rPr/>
  </w:style>
  <w:style w:type="paragraph" w:styleId="Style23"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57"/>
        <w:tab w:val="center" w:pos="4153" w:leader="none"/>
        <w:tab w:val="right" w:pos="8306" w:leader="none"/>
      </w:tabs>
    </w:pPr>
    <w:rPr/>
  </w:style>
  <w:style w:type="paragraph" w:styleId="11" w:customStyle="1">
    <w:name w:val="Підпис1"/>
    <w:basedOn w:val="Normal"/>
    <w:qFormat/>
    <w:rsid w:val="00a0742f"/>
    <w:pPr>
      <w:keepLines/>
      <w:tabs>
        <w:tab w:val="clear" w:pos="57"/>
        <w:tab w:val="center" w:pos="2268" w:leader="none"/>
        <w:tab w:val="left" w:pos="6804" w:leader="none"/>
      </w:tabs>
      <w:spacing w:before="360" w:after="0"/>
    </w:pPr>
    <w:rPr>
      <w:b/>
      <w:position w:val="-48"/>
    </w:rPr>
  </w:style>
  <w:style w:type="paragraph" w:styleId="Style24" w:customStyle="1">
    <w:name w:val="Глава документу"/>
    <w:basedOn w:val="Normal"/>
    <w:next w:val="Normal"/>
    <w:qFormat/>
    <w:rsid w:val="00a0742f"/>
    <w:pPr>
      <w:keepNext w:val="true"/>
      <w:keepLines/>
      <w:spacing w:before="120" w:after="120"/>
      <w:jc w:val="center"/>
    </w:pPr>
    <w:rPr/>
  </w:style>
  <w:style w:type="paragraph" w:styleId="Style25" w:customStyle="1">
    <w:name w:val="Герб"/>
    <w:basedOn w:val="Normal"/>
    <w:qFormat/>
    <w:rsid w:val="00a0742f"/>
    <w:pPr>
      <w:keepNext w:val="true"/>
      <w:keepLines/>
      <w:jc w:val="center"/>
    </w:pPr>
    <w:rPr>
      <w:sz w:val="144"/>
      <w:lang w:val="en-US"/>
    </w:rPr>
  </w:style>
  <w:style w:type="paragraph" w:styleId="Style26" w:customStyle="1">
    <w:name w:val="Установа"/>
    <w:basedOn w:val="Normal"/>
    <w:qFormat/>
    <w:rsid w:val="00a0742f"/>
    <w:pPr>
      <w:keepNext w:val="true"/>
      <w:keepLines/>
      <w:spacing w:before="120" w:after="0"/>
      <w:jc w:val="center"/>
    </w:pPr>
    <w:rPr>
      <w:b/>
      <w:sz w:val="40"/>
    </w:rPr>
  </w:style>
  <w:style w:type="paragraph" w:styleId="Style27" w:customStyle="1">
    <w:name w:val="Вид документа"/>
    <w:basedOn w:val="Style26"/>
    <w:next w:val="Normal"/>
    <w:qFormat/>
    <w:rsid w:val="00a0742f"/>
    <w:pPr>
      <w:spacing w:before="360" w:after="240"/>
    </w:pPr>
    <w:rPr>
      <w:spacing w:val="20"/>
      <w:sz w:val="26"/>
    </w:rPr>
  </w:style>
  <w:style w:type="paragraph" w:styleId="Style28" w:customStyle="1">
    <w:name w:val="Час та місце"/>
    <w:basedOn w:val="Normal"/>
    <w:qFormat/>
    <w:rsid w:val="00a0742f"/>
    <w:pPr>
      <w:keepNext w:val="true"/>
      <w:keepLines/>
      <w:spacing w:before="120" w:after="240"/>
      <w:jc w:val="center"/>
    </w:pPr>
    <w:rPr/>
  </w:style>
  <w:style w:type="paragraph" w:styleId="Style29" w:customStyle="1">
    <w:name w:val="Назва документа"/>
    <w:basedOn w:val="Normal"/>
    <w:next w:val="Style22"/>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cs="" w:cstheme="minorBidi" w:eastAsiaTheme="minorHAns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197d14"/>
    <w:pPr>
      <w:spacing w:before="0" w:after="0"/>
      <w:ind w:left="720"/>
      <w:contextualSpacing/>
    </w:pPr>
    <w:rPr/>
  </w:style>
  <w:style w:type="paragraph" w:styleId="Subtitle">
    <w:name w:val="Subtitle"/>
    <w:basedOn w:val="Normal"/>
    <w:link w:val="Style13"/>
    <w:uiPriority w:val="99"/>
    <w:qFormat/>
    <w:rsid w:val="00de0c41"/>
    <w:pPr>
      <w:spacing w:lineRule="auto" w:line="240"/>
      <w:ind w:hanging="0"/>
      <w:jc w:val="center"/>
    </w:pPr>
    <w:rPr>
      <w:b/>
    </w:rPr>
  </w:style>
  <w:style w:type="paragraph" w:styleId="311" w:customStyle="1">
    <w:name w:val="Основной текст (3)1"/>
    <w:basedOn w:val="Normal"/>
    <w:qFormat/>
    <w:rsid w:val="00c42ed0"/>
    <w:pPr>
      <w:widowControl w:val="false"/>
      <w:shd w:val="clear" w:color="auto" w:fill="FFFFFF"/>
      <w:spacing w:lineRule="atLeast" w:line="240" w:before="0" w:after="600"/>
      <w:ind w:hanging="0"/>
      <w:jc w:val="left"/>
    </w:pPr>
    <w:rPr>
      <w:rFonts w:ascii="Courier New" w:hAnsi="Courier New"/>
      <w:spacing w:val="2"/>
      <w:sz w:val="17"/>
    </w:rPr>
  </w:style>
  <w:style w:type="paragraph" w:styleId="12" w:customStyle="1">
    <w:name w:val="Звичайний1"/>
    <w:qFormat/>
    <w:rsid w:val="00ef6f6f"/>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BodyTextIndent2">
    <w:name w:val="Body Text Indent 2"/>
    <w:basedOn w:val="Normal"/>
    <w:link w:val="2"/>
    <w:unhideWhenUsed/>
    <w:qFormat/>
    <w:rsid w:val="00284857"/>
    <w:pPr>
      <w:spacing w:lineRule="auto" w:line="480" w:before="0" w:after="120"/>
      <w:ind w:left="283"/>
    </w:pPr>
    <w:rPr/>
  </w:style>
  <w:style w:type="paragraph" w:styleId="BodyTextIndent">
    <w:name w:val="Body Text Indent"/>
    <w:basedOn w:val="Normal"/>
    <w:link w:val="Style14"/>
    <w:unhideWhenUsed/>
    <w:rsid w:val="00284857"/>
    <w:pPr>
      <w:spacing w:before="0" w:after="120"/>
      <w:ind w:left="283"/>
    </w:pPr>
    <w:rPr/>
  </w:style>
  <w:style w:type="paragraph" w:styleId="csd270a203" w:customStyle="1">
    <w:name w:val="csd270a203"/>
    <w:basedOn w:val="Normal"/>
    <w:qFormat/>
    <w:rsid w:val="00da4f7c"/>
    <w:pPr>
      <w:spacing w:lineRule="auto" w:line="240" w:beforeAutospacing="1" w:afterAutospacing="1"/>
      <w:ind w:hanging="0"/>
      <w:jc w:val="left"/>
    </w:pPr>
    <w:rPr>
      <w:sz w:val="24"/>
      <w:szCs w:val="24"/>
      <w:lang w:eastAsia="uk-UA"/>
    </w:rPr>
  </w:style>
  <w:style w:type="paragraph" w:styleId="cs66e64e55" w:customStyle="1">
    <w:name w:val="cs66e64e55"/>
    <w:basedOn w:val="Normal"/>
    <w:qFormat/>
    <w:rsid w:val="00da4f7c"/>
    <w:pPr>
      <w:spacing w:lineRule="auto" w:line="240" w:beforeAutospacing="1" w:afterAutospacing="1"/>
      <w:ind w:hanging="0"/>
      <w:jc w:val="left"/>
    </w:pPr>
    <w:rPr>
      <w:sz w:val="24"/>
      <w:szCs w:val="24"/>
      <w:lang w:eastAsia="uk-UA"/>
    </w:rPr>
  </w:style>
  <w:style w:type="paragraph" w:styleId="user3" w:customStyle="1">
    <w:name w:val="Вміст таблиці (user)"/>
    <w:basedOn w:val="Normal"/>
    <w:qFormat/>
    <w:rsid w:val="00a50b39"/>
    <w:pPr>
      <w:widowControl w:val="false"/>
      <w:suppressLineNumbers/>
      <w:suppressAutoHyphens w:val="true"/>
      <w:spacing w:lineRule="auto" w:line="240"/>
      <w:ind w:hanging="0"/>
      <w:jc w:val="left"/>
    </w:pPr>
    <w:rPr>
      <w:rFonts w:eastAsia="Arial Unicode MS" w:cs="Arial Unicode MS"/>
      <w:kern w:val="2"/>
      <w:sz w:val="24"/>
      <w:szCs w:val="24"/>
      <w:lang w:eastAsia="hi-IN" w:bidi="hi-IN"/>
    </w:rPr>
  </w:style>
  <w:style w:type="paragraph" w:styleId="Style30">
    <w:name w:val="Вміст рамки"/>
    <w:basedOn w:val="Normal"/>
    <w:qFormat/>
    <w:pPr/>
    <w:rPr/>
  </w:style>
  <w:style w:type="paragraph" w:styleId="user4">
    <w:name w:val="Вміст рамки (user)"/>
    <w:basedOn w:val="Normal"/>
    <w:qFormat/>
    <w:pPr/>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31">
    <w:name w:val="Вміст таблиці"/>
    <w:basedOn w:val="Normal"/>
    <w:qFormat/>
    <w:pPr>
      <w:widowControl w:val="false"/>
      <w:suppressLineNumbers/>
    </w:pPr>
    <w:rPr/>
  </w:style>
  <w:style w:type="paragraph" w:styleId="Style32">
    <w:name w:val="Заголовок таблиці"/>
    <w:basedOn w:val="Style31"/>
    <w:qFormat/>
    <w:pPr>
      <w:jc w:val="center"/>
    </w:pPr>
    <w:rPr>
      <w:b/>
      <w:bCs/>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numbering" w:styleId="Style33" w:default="1">
    <w:name w:val="Без маркерів"/>
    <w:uiPriority w:val="99"/>
    <w:semiHidden/>
    <w:unhideWhenUsed/>
    <w:qFormat/>
  </w:style>
  <w:style w:type="numbering" w:styleId="user5">
    <w:name w:val="Без маркерів (user)"/>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2DF9A-27FD-43D4-B897-1D01F72E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LibreOffice/26.2.0.3$Windows_X86_64 LibreOffice_project/620$Build-3</Application>
  <AppVersion>15.0000</AppVersion>
  <Pages>5</Pages>
  <Words>895</Words>
  <Characters>6423</Characters>
  <CharactersWithSpaces>7255</CharactersWithSpaces>
  <Paragraphs>74</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2025-09-22T15:42:00Z</dcterms:created>
  <dc:creator>1-1</dc:creator>
  <dc:description/>
  <dc:language>uk-UA</dc:language>
  <cp:lastModifiedBy/>
  <cp:lastPrinted>2020-07-03T08:18:00Z</cp:lastPrinted>
  <dcterms:modified xsi:type="dcterms:W3CDTF">2026-09-02T17:18:12Z</dcterms:modified>
  <cp:revision>15</cp:revision>
  <dc:subject/>
  <dc:title>£</dc:title>
</cp:coreProperties>
</file>

<file path=docProps/custom.xml><?xml version="1.0" encoding="utf-8"?>
<Properties xmlns="http://schemas.openxmlformats.org/officeDocument/2006/custom-properties" xmlns:vt="http://schemas.openxmlformats.org/officeDocument/2006/docPropsVTypes"/>
</file>