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lang w:val="uk-UA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lang w:val="uk-UA"/>
        </w:rPr>
      </w:pPr>
      <w:r>
        <w:rPr>
          <w:b w:val="false"/>
          <w:i w:val="false"/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bCs/>
          <w:szCs w:val="28"/>
          <w:lang w:val="en-US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color w:val="000000"/>
          <w:szCs w:val="28"/>
          <w:lang w:val="en-US"/>
        </w:rPr>
      </w:pPr>
      <w:r>
        <w:rPr>
          <w:bCs/>
          <w:szCs w:val="28"/>
        </w:rPr>
        <w:t xml:space="preserve">на зайняття посади державної служби категорії «В» - </w:t>
      </w:r>
      <w:r>
        <w:rPr>
          <w:color w:val="000000"/>
          <w:szCs w:val="28"/>
        </w:rPr>
        <w:t xml:space="preserve">головного спеціаліста </w:t>
      </w:r>
    </w:p>
    <w:p>
      <w:pPr>
        <w:pStyle w:val="Normal"/>
        <w:ind w:hanging="0"/>
        <w:jc w:val="center"/>
        <w:rPr>
          <w:color w:val="000000"/>
          <w:szCs w:val="28"/>
          <w:lang w:val="en-US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відділу організації правової роботи юридичного управління 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color w:val="000000"/>
          <w:szCs w:val="28"/>
        </w:rPr>
        <w:t>(вул. Волоська,36/38)</w:t>
      </w:r>
    </w:p>
    <w:tbl>
      <w:tblPr>
        <w:tblStyle w:val="aff"/>
        <w:tblW w:w="9497" w:type="dxa"/>
        <w:jc w:val="left"/>
        <w:tblInd w:w="4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0"/>
        <w:gridCol w:w="2971"/>
        <w:gridCol w:w="33"/>
        <w:gridCol w:w="5953"/>
      </w:tblGrid>
      <w:tr>
        <w:trPr/>
        <w:tc>
          <w:tcPr>
            <w:tcW w:w="949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Cs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Проведення моніторингу змін в законодавстві та оперативне доведення до структурних підрозділів та працівників інформацію про зміни у законодавчих та інших нормативно - правових актах і про нові акти законодавства, рекомендації органів юстиції, роз’яснення, листи та постанови пленуму Верховного Суду, касаційного господарського, адміністративного, цивільного та кримінального судів у складі Верховного Суду; узагальнення разом із заінтересованими структурними підрозділами практики застосування законодавства у сфері загальнообов'язкового державного пенсійного страхування, пенсійного забезпечення, надання субсидій та пільг на оплату житлово-комунальних послуг, придбання твердого та рідкого пічного побутового палива і скрапленого газу, підготовку пропозицій щодо його вдосконалення, подання їх на розгляд керівництву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Участь у розгляді та підготовка проєктів відповідей на звернення підприємств, установ, організацій, громадян, та запитів на отримання публічної інформації.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Подання звітності до Фонду та інших органів державної влади з питань правової роботи, з урахуванням порядку та строків її подання та за будь-який період часу - з використанням можливостей автоматизованого формування аналітичної звітності у підсистемах “Правова робота”, “Реєстр судових рішень” ІКІС ПФУ.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Участь та забезпечення взаємодії з правоохоронними органами, органами державної виконавчої служби та іншими державними органами. Проведення аналізу матеріалів, що надійшли від правоохоронних і контролюючих органів.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моніторингу повноти наповнення та внесення відомостей про стан розгляду судами справ та стан виконання рішень судів про стягнення коштів (крім пенсій) та зобов’язання вчинити дії, не пов’язані з пенсійним забезпеченням, до підсистем “Правова робота” та “Реєстр судових рішень” ІКІС ПФУ.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Підготовка справ про адміністративні правопорушення до розгляду, підготовка проектів постанов у даних справах, передача вказаних постанов до органів державної виконавчої служби у разі несплати штрафу у встановлений законодавством строк.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обліку виконавчих проваджень щодо стягнення коштів на користь Головного управління, а також збирання та узагальнення отриманої інформації у звітні дані за встановленими формами та подання їх начальнику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Здійснення представництва (захист) інтересів Головного управління в судах та інших органах під час розгляду правових питань і спорів, віднесених до компетенції відділу організації правової роботи юридичного управління, підготовка заяв, клопотань, відзивів, пояснень, заперечень, а також заяв про перегляд судових рішень в апеляційному та касаційному порядку. Оформлення та укомплектування судових справ відповідними матеріалами. Моніторинг стану розгляду в судах справ, в тому числі шляхом використання відомостей з Єдиного державного реєстру судових рішень, електронного кабінету у підсистемі «Електронний суд» ЄСІТС, відстеження інформації на офіційному Веб-порталі «Судова влада України».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Моніторинг відомостей справ про банкрутство, розміщених на офіційному веб-порталі судової влади України, щодо платників, відносно яких порушуються провадження у справах про банкрутство та/або відкривається ліквідаційна процедура, та підготовки документів для розгляду кредиторських вимог Головного управління. Підготовка та подання у встановлені законодавством строки до господарського суду, арбітражних керуючих а також ліквідаційних комісій заяв про визнання конкурсних (поточних) кредиторських вимог Головного управління у справах про банкрутство, участь в судових засіданнях а також зборах кредиторів. Формування матеріалів справ про банкрутство в окремі справи, ведення обліку їх руху та журналу судових засідань.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70"/>
                <w:tab w:val="left" w:pos="36" w:leader="none"/>
              </w:tabs>
              <w:suppressAutoHyphens w:val="true"/>
              <w:spacing w:lineRule="auto" w:line="240" w:before="0" w:after="0"/>
              <w:ind w:hanging="0" w:left="-20"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uk-UA" w:eastAsia="uk-UA" w:bidi="ar-SA"/>
              </w:rPr>
              <w:t>Виконання оперативних доручень та завдань начальника (заступника начальника) юридичного управління, начальника (заступника начальника) відділу організації правової роботи юридичного управління В порядку, визначеному начальником (заступником начальника) юридичного управління, начальником (заступником начальника) відділу організації правової роботи юридичного управління заміщує інших працівників відділу у разі їх відсутності.</w:t>
            </w:r>
          </w:p>
        </w:tc>
      </w:tr>
      <w:tr>
        <w:trPr>
          <w:trHeight w:val="4154" w:hRule="atLeast"/>
        </w:trPr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86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>Посадовий оклад - 20795 грн</w:t>
            </w:r>
            <w:r>
              <w:rPr>
                <w:rFonts w:eastAsia="Times New Roman" w:cs="Times New Roman"/>
                <w:bCs/>
                <w:color w:themeColor="text1" w:val="000000"/>
                <w:kern w:val="0"/>
                <w:szCs w:val="28"/>
                <w:lang w:val="uk-UA" w:bidi="ar-SA"/>
              </w:rPr>
              <w:t>.</w:t>
            </w:r>
            <w:r>
              <w:rPr>
                <w:rStyle w:val="FontStyle11"/>
                <w:rFonts w:eastAsia="Times New Roman"/>
                <w:i/>
                <w:iCs/>
                <w:color w:themeColor="text1" w:val="000000"/>
                <w:kern w:val="0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згідно із класифікацією посад;</w:t>
            </w:r>
            <w:r>
              <w:rPr>
                <w:rFonts w:eastAsia="Times New Roman" w:cs="Times New Roman"/>
                <w:bCs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0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170"/>
                <w:tab w:val="left" w:pos="977" w:leader="none"/>
              </w:tabs>
              <w:suppressAutoHyphens w:val="true"/>
              <w:spacing w:lineRule="auto" w:line="240" w:before="0" w:after="0"/>
              <w:ind w:hanging="0" w:right="110"/>
              <w:rPr>
                <w:szCs w:val="28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Обов’язковою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вимогою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до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осіб,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які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претендують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на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посаду,</w:t>
            </w:r>
            <w:r>
              <w:rPr>
                <w:rFonts w:eastAsia="Times New Roman" w:cs="Times New Roman"/>
                <w:b/>
                <w:i/>
                <w:iCs/>
                <w:spacing w:val="80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>є наявність</w:t>
            </w:r>
            <w:r>
              <w:rPr>
                <w:rFonts w:eastAsia="Times New Roman" w:cs="Times New Roman"/>
                <w:b/>
                <w:i/>
                <w:iCs/>
                <w:spacing w:val="-1"/>
                <w:kern w:val="0"/>
                <w:sz w:val="28"/>
                <w:szCs w:val="28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b/>
                <w:i/>
                <w:iCs/>
                <w:kern w:val="0"/>
                <w:sz w:val="28"/>
                <w:szCs w:val="28"/>
                <w:lang w:val="uk-UA" w:eastAsia="uk-UA" w:bidi="ar-SA"/>
              </w:rPr>
              <w:t xml:space="preserve">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i/>
                <w:iCs/>
                <w:spacing w:val="-2"/>
                <w:kern w:val="0"/>
                <w:sz w:val="28"/>
                <w:szCs w:val="28"/>
                <w:lang w:val="uk-UA" w:eastAsia="uk-UA" w:bidi="ar-SA"/>
              </w:rPr>
              <w:t>держав.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Освіта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вища освіта за освітнім ступенем не нижче  молодшого бакалавра, бакалавра </w:t>
            </w:r>
            <w:r>
              <w:rPr>
                <w:rFonts w:eastAsia="Times New Roman" w:cs="Times New Roman"/>
                <w:color w:val="000000"/>
                <w:kern w:val="0"/>
                <w:sz w:val="31"/>
                <w:szCs w:val="31"/>
                <w:lang w:val="uk-UA" w:bidi="ar-SA"/>
              </w:rPr>
              <w:t>у галузі знань «Право»</w:t>
            </w:r>
          </w:p>
        </w:tc>
      </w:tr>
      <w:tr>
        <w:trPr/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Досвід роботи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shd w:fill="FFFFFF" w:val="clear"/>
                <w:lang w:val="uk-UA" w:bidi="ar-SA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3.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895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1.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Якісне виконання поставлених завдань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170"/>
                <w:tab w:val="left" w:pos="398" w:leader="none"/>
              </w:tabs>
              <w:suppressAutoHyphens w:val="true"/>
              <w:spacing w:lineRule="auto" w:line="240" w:before="0" w:after="0"/>
              <w:ind w:hanging="0" w:right="-8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-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170"/>
                <w:tab w:val="left" w:pos="398" w:leader="none"/>
              </w:tabs>
              <w:suppressAutoHyphens w:val="true"/>
              <w:spacing w:lineRule="auto" w:line="240" w:before="0" w:after="0"/>
              <w:ind w:hanging="0" w:right="-8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142" w:left="20" w:right="-80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34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2.</w:t>
            </w:r>
          </w:p>
        </w:tc>
        <w:tc>
          <w:tcPr>
            <w:tcW w:w="297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32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Відповідальність, командна робота та взаємодія</w:t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cs61116938"/>
              <w:widowControl/>
              <w:suppressAutoHyphens w:val="true"/>
              <w:spacing w:beforeAutospacing="0" w:before="0" w:afterAutospacing="0" w:after="0"/>
              <w:ind w:hanging="0" w:right="2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 xml:space="preserve">-вміння працювати в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команді та командної взаємодії.</w:t>
            </w:r>
          </w:p>
        </w:tc>
      </w:tr>
      <w:tr>
        <w:trPr>
          <w:trHeight w:val="198" w:hRule="atLeast"/>
        </w:trPr>
        <w:tc>
          <w:tcPr>
            <w:tcW w:w="54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3.</w:t>
            </w:r>
          </w:p>
        </w:tc>
        <w:tc>
          <w:tcPr>
            <w:tcW w:w="2971" w:type="dxa"/>
            <w:tcBorders/>
          </w:tcPr>
          <w:p>
            <w:pPr>
              <w:pStyle w:val="cs66e64e55"/>
              <w:widowControl/>
              <w:suppressAutoHyphens w:val="true"/>
              <w:spacing w:lineRule="atLeast" w:line="183" w:before="0" w:after="28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Аналітичні здібності та обґрунтування власної позиції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986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170"/>
                <w:tab w:val="left" w:pos="190" w:leader="none"/>
              </w:tabs>
              <w:suppressAutoHyphens w:val="true"/>
              <w:spacing w:lineRule="auto" w:line="240" w:before="0" w:after="0"/>
              <w:ind w:hanging="0" w:left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right="280"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rFonts w:eastAsia="Times New Roman" w:cs="Times New Roman"/>
                <w:bCs/>
                <w:color w:val="000000"/>
                <w:kern w:val="0"/>
                <w:szCs w:val="28"/>
                <w:lang w:val="uk-UA" w:bidi="ar-SA"/>
              </w:rPr>
              <w:t>.</w:t>
            </w:r>
          </w:p>
        </w:tc>
      </w:tr>
      <w:tr>
        <w:trPr>
          <w:trHeight w:val="378" w:hRule="atLeast"/>
        </w:trPr>
        <w:tc>
          <w:tcPr>
            <w:tcW w:w="9497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Вимоги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8"/>
              </w:rPr>
            </w:pPr>
            <w:r>
              <w:rPr>
                <w:rFonts w:eastAsia="Times New Roman" w:cs="Times New Roman"/>
                <w:b/>
                <w:kern w:val="0"/>
                <w:szCs w:val="28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1.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53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Знання: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 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</w:t>
            </w:r>
            <w:r>
              <w:rPr>
                <w:rStyle w:val="cs23fb0664"/>
                <w:rFonts w:eastAsia="Times New Roman" w:cs="Times New Roman"/>
                <w:color w:val="000000"/>
                <w:kern w:val="0"/>
                <w:lang w:val="uk-UA" w:bidi="ar-SA"/>
              </w:rPr>
              <w:t> 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Закон України “Про доступ до публічної інформації”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 України “Про захист персональних даних”.</w:t>
            </w:r>
          </w:p>
        </w:tc>
      </w:tr>
      <w:tr>
        <w:trPr>
          <w:trHeight w:val="210" w:hRule="atLeast"/>
        </w:trPr>
        <w:tc>
          <w:tcPr>
            <w:tcW w:w="540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2.</w:t>
            </w:r>
          </w:p>
        </w:tc>
        <w:tc>
          <w:tcPr>
            <w:tcW w:w="3004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53" w:type="dxa"/>
            <w:tcBorders/>
          </w:tcPr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Знання:</w:t>
            </w:r>
          </w:p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Кодекс адміністративного судочинства України;</w:t>
            </w:r>
          </w:p>
          <w:p>
            <w:pPr>
              <w:pStyle w:val="csd270a203"/>
              <w:widowControl/>
              <w:suppressAutoHyphens w:val="true"/>
              <w:spacing w:beforeAutospacing="0" w:before="0" w:afterAutospacing="0" w:after="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- Закону України «Про виконавче провадження»;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Закону України «Про загальнообов’язкове державне пенсійне страхування».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567" w:top="624" w:footer="567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635" distR="0" simplePos="0" locked="0" layoutInCell="0" allowOverlap="1" relativeHeight="2" wp14:anchorId="18785C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635" cy="1778635"/>
              <wp:effectExtent l="635" t="0" r="0" b="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760" cy="1778760"/>
                      </a:xfrm>
                      <a:custGeom>
                        <a:avLst/>
                        <a:gdLst>
                          <a:gd name="textAreaLeft" fmla="*/ 0 w 1008360"/>
                          <a:gd name="textAreaRight" fmla="*/ 1011960 w 1008360"/>
                          <a:gd name="textAreaTop" fmla="*/ 0 h 1008360"/>
                          <a:gd name="textAreaBottom" fmla="*/ 1011960 h 1008360"/>
                          <a:gd name="GluePoint1X" fmla="*/ 4943 w 4944"/>
                          <a:gd name="GluePoint1Y" fmla="*/ 4941 h 4942"/>
                          <a:gd name="GluePoint2X" fmla="*/ 0 w 4944"/>
                          <a:gd name="GluePoint2Y" fmla="*/ 4941 h 4942"/>
                          <a:gd name="GluePoint3X" fmla="*/ 0 w 4944"/>
                          <a:gd name="GluePoint3Y" fmla="*/ 0 h 4942"/>
                          <a:gd name="GluePoint4X" fmla="*/ 4943 w 4944"/>
                          <a:gd name="GluePoint4Y" fmla="*/ 0 h 4942"/>
                          <a:gd name="GluePoint5X" fmla="*/ 4943 w 4944"/>
                          <a:gd name="GluePoint5Y" fmla="*/ 4941 h 4942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4944" h="4942">
                            <a:moveTo>
                              <a:pt x="4943" y="4941"/>
                            </a:moveTo>
                            <a:lnTo>
                              <a:pt x="0" y="4941"/>
                            </a:lnTo>
                            <a:lnTo>
                              <a:pt x="0" y="0"/>
                            </a:lnTo>
                            <a:lnTo>
                              <a:pt x="4943" y="0"/>
                            </a:lnTo>
                            <a:lnTo>
                              <a:pt x="4943" y="4941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0" distB="635" distL="0" distR="0" simplePos="0" locked="0" layoutInCell="0" allowOverlap="1" relativeHeight="6" wp14:anchorId="5C709FA9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33190" cy="1551940"/>
              <wp:effectExtent l="0" t="0" r="0" b="635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3360" cy="1551960"/>
                      </a:xfrm>
                      <a:custGeom>
                        <a:avLst/>
                        <a:gdLst>
                          <a:gd name="textAreaLeft" fmla="*/ 0 w 2229840"/>
                          <a:gd name="textAreaRight" fmla="*/ 2233440 w 2229840"/>
                          <a:gd name="textAreaTop" fmla="*/ 0 h 879840"/>
                          <a:gd name="textAreaBottom" fmla="*/ 883440 h 879840"/>
                          <a:gd name="GluePoint1X" fmla="*/ 10928 w 10929"/>
                          <a:gd name="GluePoint1Y" fmla="*/ 4313 h 4314"/>
                          <a:gd name="GluePoint2X" fmla="*/ 10928 w 10929"/>
                          <a:gd name="GluePoint2Y" fmla="*/ 0 h 4314"/>
                          <a:gd name="GluePoint3X" fmla="*/ 10928 w 10929"/>
                          <a:gd name="GluePoint3Y" fmla="*/ 4313 h 4314"/>
                          <a:gd name="GluePoint4X" fmla="*/ 0 w 10929"/>
                          <a:gd name="GluePoint4Y" fmla="*/ 4313 h 4314"/>
                          <a:gd name="GluePoint5X" fmla="*/ 0 w 10929"/>
                          <a:gd name="GluePoint5Y" fmla="*/ 0 h 4314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10929" h="4314">
                            <a:moveTo>
                              <a:pt x="10928" y="4313"/>
                            </a:moveTo>
                            <a:lnTo>
                              <a:pt x="10928" y="0"/>
                            </a:lnTo>
                            <a:lnTo>
                              <a:pt x="10928" y="4313"/>
                            </a:lnTo>
                            <a:lnTo>
                              <a:pt x="0" y="43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17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FontStyle11" w:customStyle="1">
    <w:name w:val="Font Style11"/>
    <w:basedOn w:val="DefaultParagraphFont"/>
    <w:uiPriority w:val="99"/>
    <w:qFormat/>
    <w:rsid w:val="00d76ed3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942a1b"/>
    <w:rPr/>
  </w:style>
  <w:style w:type="character" w:styleId="cs23fb0664" w:customStyle="1">
    <w:name w:val="cs23fb0664"/>
    <w:basedOn w:val="DefaultParagraphFont"/>
    <w:qFormat/>
    <w:rsid w:val="00942a1b"/>
    <w:rPr/>
  </w:style>
  <w:style w:type="character" w:styleId="31" w:customStyle="1">
    <w:name w:val="Заголовок 3 Знак"/>
    <w:basedOn w:val="DefaultParagraphFont"/>
    <w:qFormat/>
    <w:rsid w:val="003536e7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ac24ac"/>
    <w:rPr>
      <w:b/>
      <w:bCs/>
    </w:rPr>
  </w:style>
  <w:style w:type="character" w:styleId="11" w:customStyle="1">
    <w:name w:val="Незакрита згадка1"/>
    <w:basedOn w:val="DefaultParagraphFont"/>
    <w:qFormat/>
    <w:rsid w:val="00ac24ac"/>
    <w:rPr>
      <w:color w:val="605E5C"/>
      <w:shd w:fill="E1DFDD" w:val="clear"/>
    </w:rPr>
  </w:style>
  <w:style w:type="character" w:styleId="rvts0">
    <w:name w:val="rvts0"/>
    <w:qFormat/>
    <w:rPr>
      <w:rFonts w:cs="Times New Roman"/>
    </w:rPr>
  </w:style>
  <w:style w:type="paragraph" w:styleId="Style14" w:customStyle="1">
    <w:name w:val="Заголовок"/>
    <w:basedOn w:val="Normal"/>
    <w:next w:val="BodyText"/>
    <w:qFormat/>
    <w:rsid w:val="00ac24ac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c24ac"/>
    <w:pPr/>
    <w:rPr>
      <w:rFonts w:cs="Lucida Sans"/>
    </w:rPr>
  </w:style>
  <w:style w:type="paragraph" w:styleId="Caption">
    <w:name w:val="caption"/>
    <w:basedOn w:val="Normal"/>
    <w:qFormat/>
    <w:rsid w:val="00ac24a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ac24ac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c24ac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c24ac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c24ac"/>
    <w:pPr/>
    <w:rPr/>
  </w:style>
  <w:style w:type="paragraph" w:styleId="Style16" w:customStyle="1">
    <w:name w:val="Верхній і нижній колонтитули"/>
    <w:basedOn w:val="Normal"/>
    <w:qFormat/>
    <w:rsid w:val="00ac24ac"/>
    <w:pPr/>
    <w:rPr/>
  </w:style>
  <w:style w:type="paragraph" w:styleId="Footer">
    <w:name w:val="footer"/>
    <w:basedOn w:val="Normal"/>
    <w:rsid w:val="00a0742f"/>
    <w:pPr>
      <w:tabs>
        <w:tab w:val="clear" w:pos="17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17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17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13" w:customStyle="1">
    <w:name w:val="Звичайний1"/>
    <w:qFormat/>
    <w:rsid w:val="00551e65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5c6c94b" w:customStyle="1">
    <w:name w:val="cs75c6c94b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942a1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c24ac"/>
    <w:pPr/>
    <w:rPr/>
  </w:style>
  <w:style w:type="paragraph" w:styleId="Style25" w:customStyle="1">
    <w:name w:val="Вміст рамки"/>
    <w:basedOn w:val="Normal"/>
    <w:qFormat/>
    <w:rsid w:val="00ac24ac"/>
    <w:pPr/>
    <w:rPr/>
  </w:style>
  <w:style w:type="paragraph" w:styleId="311" w:customStyle="1">
    <w:name w:val="Основной текст (3)1"/>
    <w:basedOn w:val="Normal"/>
    <w:qFormat/>
    <w:rsid w:val="00ac24ac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numbering" w:styleId="user4" w:customStyle="1">
    <w:name w:val="Без маркерів (user)"/>
    <w:uiPriority w:val="99"/>
    <w:semiHidden/>
    <w:unhideWhenUsed/>
    <w:qFormat/>
    <w:rsid w:val="00ac24ac"/>
  </w:style>
  <w:style w:type="numbering" w:styleId="Style28" w:customStyle="1">
    <w:name w:val="Без маркерів"/>
    <w:qFormat/>
    <w:rsid w:val="00ac24a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F3AF-5579-4624-B64A-161A48DE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LibreOffice/26.2.0.3$Windows_X86_64 LibreOffice_project/620$Build-3</Application>
  <AppVersion>15.0000</AppVersion>
  <Pages>5</Pages>
  <Words>908</Words>
  <Characters>6329</Characters>
  <CharactersWithSpaces>7173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2026-06-01T07:48:00Z</dcterms:created>
  <dc:creator>1-1</dc:creator>
  <dc:description/>
  <dc:language>uk-UA</dc:language>
  <cp:lastModifiedBy/>
  <cp:lastPrinted>2021-03-22T13:07:00Z</cp:lastPrinted>
  <dcterms:modified xsi:type="dcterms:W3CDTF">2026-09-02T17:25:55Z</dcterms:modified>
  <cp:revision>15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