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lang w:val="uk-UA"/>
        </w:rPr>
      </w:r>
    </w:p>
    <w:p>
      <w:pPr>
        <w:pStyle w:val="Normal"/>
        <w:spacing w:lineRule="auto" w:line="240" w:before="0" w:after="0"/>
        <w:ind w:hanging="0" w:left="0"/>
        <w:jc w:val="center"/>
        <w:rPr>
          <w:lang w:val="uk-UA"/>
        </w:rPr>
      </w:pPr>
      <w:r>
        <w:rPr>
          <w:lang w:val="uk-UA"/>
        </w:rPr>
      </w:r>
    </w:p>
    <w:p>
      <w:pPr>
        <w:pStyle w:val="Heading3"/>
        <w:spacing w:lineRule="auto" w:line="240" w:before="0" w:after="0"/>
        <w:ind w:hanging="0" w:left="0"/>
        <w:jc w:val="center"/>
        <w:rPr>
          <w:lang w:val="uk-UA"/>
        </w:rPr>
      </w:pPr>
      <w:r>
        <w:rPr>
          <w:b w:val="false"/>
          <w:i w:val="false"/>
          <w:szCs w:val="28"/>
          <w:lang w:val="uk-UA"/>
        </w:rPr>
        <w:t>Умови</w:t>
      </w:r>
    </w:p>
    <w:p>
      <w:pPr>
        <w:pStyle w:val="Normal"/>
        <w:ind w:hanging="0"/>
        <w:jc w:val="center"/>
        <w:rPr>
          <w:bCs/>
          <w:szCs w:val="28"/>
          <w:lang w:val="en-US"/>
        </w:rPr>
      </w:pPr>
      <w:r>
        <w:rPr>
          <w:bCs/>
          <w:szCs w:val="28"/>
        </w:rPr>
        <w:t>проведення добору</w:t>
      </w:r>
    </w:p>
    <w:p>
      <w:pPr>
        <w:pStyle w:val="Normal"/>
        <w:ind w:hanging="0"/>
        <w:jc w:val="center"/>
        <w:rPr>
          <w:color w:val="000000"/>
          <w:szCs w:val="28"/>
          <w:lang w:val="en-US"/>
        </w:rPr>
      </w:pPr>
      <w:r>
        <w:rPr>
          <w:bCs/>
          <w:szCs w:val="28"/>
        </w:rPr>
        <w:t xml:space="preserve">на зайняття посади державної служби категорії «В» - </w:t>
      </w:r>
      <w:r>
        <w:rPr>
          <w:color w:val="000000"/>
          <w:szCs w:val="28"/>
        </w:rPr>
        <w:t xml:space="preserve">головного спеціаліста </w:t>
      </w:r>
    </w:p>
    <w:p>
      <w:pPr>
        <w:pStyle w:val="Normal"/>
        <w:ind w:hanging="0"/>
        <w:jc w:val="center"/>
        <w:rPr>
          <w:color w:val="000000"/>
          <w:szCs w:val="28"/>
          <w:lang w:val="en-US"/>
        </w:rPr>
      </w:pP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відділу організації правової роботи  юридичного управління (на період відсутності основного працівника) 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color w:val="000000"/>
          <w:szCs w:val="28"/>
        </w:rPr>
        <w:t>(вул. Волоська,36/38)</w:t>
      </w:r>
    </w:p>
    <w:tbl>
      <w:tblPr>
        <w:tblStyle w:val="aff"/>
        <w:tblW w:w="9497" w:type="dxa"/>
        <w:jc w:val="left"/>
        <w:tblInd w:w="4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40"/>
        <w:gridCol w:w="2971"/>
        <w:gridCol w:w="33"/>
        <w:gridCol w:w="5953"/>
      </w:tblGrid>
      <w:tr>
        <w:trPr/>
        <w:tc>
          <w:tcPr>
            <w:tcW w:w="9497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181"/>
              <w:jc w:val="center"/>
              <w:rPr>
                <w:bCs/>
                <w:szCs w:val="28"/>
              </w:rPr>
            </w:pPr>
            <w:r>
              <w:rPr>
                <w:rFonts w:eastAsia="Times New Roman" w:cs="Times New Roman"/>
                <w:bCs/>
                <w:kern w:val="0"/>
                <w:szCs w:val="28"/>
                <w:lang w:val="uk-UA" w:bidi="ar-SA"/>
              </w:rPr>
              <w:t>Загальні умови</w:t>
            </w:r>
          </w:p>
        </w:tc>
      </w:tr>
      <w:tr>
        <w:trPr/>
        <w:tc>
          <w:tcPr>
            <w:tcW w:w="3511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Посадові обов’язки</w:t>
            </w:r>
          </w:p>
        </w:tc>
        <w:tc>
          <w:tcPr>
            <w:tcW w:w="5986" w:type="dxa"/>
            <w:gridSpan w:val="2"/>
            <w:tcBorders/>
          </w:tcPr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170"/>
                <w:tab w:val="left" w:pos="36" w:leader="none"/>
              </w:tabs>
              <w:suppressAutoHyphens w:val="true"/>
              <w:spacing w:lineRule="auto" w:line="240" w:before="0" w:after="0"/>
              <w:ind w:hanging="0" w:left="-20"/>
              <w:rPr>
                <w:color w:val="000000"/>
                <w:lang w:eastAsia="uk-UA"/>
              </w:rPr>
            </w:pPr>
            <w:bookmarkStart w:id="0" w:name="n85"/>
            <w:bookmarkStart w:id="1" w:name="n186"/>
            <w:bookmarkStart w:id="2" w:name="n92"/>
            <w:bookmarkEnd w:id="0"/>
            <w:bookmarkEnd w:id="1"/>
            <w:bookmarkEnd w:id="2"/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Проведення моніторингу змін в законодавстві та оперативне доведення до структурних підрозділів та працівників інформацію про зміни у законодавчих та інших нормативно - правових актах і про нові акти законодавства, рекомендації органів юстиції, роз’яснення, листи та постанови пленуму Верховного Суду, касаційного господарського, адміністративного, цивільного та кримінального судів у складі Верховного Суду; узагальнення разом із заінтересованими структурними підрозділами практики застосування законодавства у сфері загальнообов'язкового державного пенсійного страхування, пенсійного забезпечення, надання субсидій та пільг на оплату житлово-комунальних послуг, придбання твердого та рідкого пічного побутового палива і скрапленого газу, підготовку пропозицій щодо його вдосконалення, подання їх на розгляд керівництву відділу.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170"/>
                <w:tab w:val="left" w:pos="36" w:leader="none"/>
              </w:tabs>
              <w:suppressAutoHyphens w:val="true"/>
              <w:spacing w:lineRule="auto" w:line="240" w:before="0" w:after="0"/>
              <w:ind w:hanging="0" w:left="-20"/>
              <w:rPr>
                <w:color w:val="000000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Участь у розгляді та підготовка проєктів відповідей на звернення підприємств, установ, організацій, громадян, та запитів на отримання публічної інформації.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170"/>
                <w:tab w:val="left" w:pos="36" w:leader="none"/>
              </w:tabs>
              <w:suppressAutoHyphens w:val="true"/>
              <w:spacing w:lineRule="auto" w:line="240" w:before="0" w:after="0"/>
              <w:ind w:hanging="0" w:left="-20"/>
              <w:rPr>
                <w:color w:val="000000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Подання звітності до Фонду та інших органів державної влади з питань правової роботи, з урахуванням порядку та строків її подання та за будь-який період часу - з використанням можливостей автоматизованого формування аналітичної звітності у підсистемах “Правова робота”, “Реєстр судових рішень” ІКІС ПФУ.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170"/>
                <w:tab w:val="left" w:pos="36" w:leader="none"/>
              </w:tabs>
              <w:suppressAutoHyphens w:val="true"/>
              <w:spacing w:lineRule="auto" w:line="240" w:before="0" w:after="0"/>
              <w:ind w:hanging="0" w:left="-20"/>
              <w:rPr>
                <w:color w:val="000000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Участь та забезпечення взаємодії з правоохоронними органами, органами державної виконавчої служби та іншими державними органами. Проведення аналізу матеріалів, що надійшли від правоохоронних і контролюючих органів.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170"/>
                <w:tab w:val="left" w:pos="36" w:leader="none"/>
              </w:tabs>
              <w:suppressAutoHyphens w:val="true"/>
              <w:spacing w:lineRule="auto" w:line="240" w:before="0" w:after="0"/>
              <w:ind w:hanging="0" w:left="-20"/>
              <w:rPr>
                <w:color w:val="000000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Здійснення моніторингу повноти наповнення та внесення відомостей про стан розгляду судами справ та стан виконання рішень судів про стягнення коштів (крім пенсій) та зобов’язання вчинити дії, не пов’язані з пенсійним забезпеченням, до підсистем “Правова робота” та “Реєстр судових рішень” ІКІС ПФУ.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170"/>
                <w:tab w:val="left" w:pos="36" w:leader="none"/>
              </w:tabs>
              <w:suppressAutoHyphens w:val="true"/>
              <w:spacing w:lineRule="auto" w:line="240" w:before="0" w:after="0"/>
              <w:ind w:hanging="0" w:left="-20"/>
              <w:rPr>
                <w:color w:val="000000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Підготовка справ про адміністративні правопорушення до розгляду, підготовка проектів постанов у даних справах, передача вказаних постанов до органів державної виконавчої служби у разі несплати штрафу у встановлений законодавством строк.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170"/>
                <w:tab w:val="left" w:pos="36" w:leader="none"/>
              </w:tabs>
              <w:suppressAutoHyphens w:val="true"/>
              <w:spacing w:lineRule="auto" w:line="240" w:before="0" w:after="0"/>
              <w:ind w:hanging="0" w:left="-20"/>
              <w:rPr>
                <w:color w:val="000000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Здійснення обліку виконавчих проваджень щодо стягнення коштів на користь Головного управління, а також збирання та узагальнення отриманої інформації у звітні дані за встановленими формами та подання їх начальнику відділу.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170"/>
                <w:tab w:val="left" w:pos="36" w:leader="none"/>
              </w:tabs>
              <w:suppressAutoHyphens w:val="true"/>
              <w:spacing w:lineRule="auto" w:line="240" w:before="0" w:after="0"/>
              <w:ind w:hanging="0" w:left="-20"/>
              <w:rPr>
                <w:color w:val="000000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Здійснення представництва (захист) інтересів Головного управління в судах та інших органах під час розгляду правових питань і спорів, віднесених до компетенції відділу організації правової роботи юридичного управління, підготовка заяв, клопотань, відзивів, пояснень, заперечень, а також заяв про перегляд судових рішень в апеляційному та касаційному порядку. Оформлення та укомплектування судових справ відповідними матеріалами. Моніторинг стану розгляду в судах справ, в тому числі шляхом використання відомостей з Єдиного державного реєстру судових рішень, електронного кабінету у підсистемі «Електронний суд» ЄСІТС, відстеження інформації на офіційному Веб-порталі «Судова влада України».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170"/>
                <w:tab w:val="left" w:pos="36" w:leader="none"/>
              </w:tabs>
              <w:suppressAutoHyphens w:val="true"/>
              <w:spacing w:lineRule="auto" w:line="240" w:before="0" w:after="0"/>
              <w:ind w:hanging="0" w:left="-20"/>
              <w:rPr>
                <w:color w:val="000000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Моніторинг відомостей справ про банкрутство, розміщених на офіційному веб-порталі судової влади України, щодо платників, відносно яких порушуються провадження у справах про банкрутство та/або відкривається ліквідаційна процедура, та підготовки документів для розгляду кредиторських вимог Головного управління. Підготовка та подання у встановлені законодавством строки до господарського суду, арбітражних керуючих а також ліквідаційних комісій заяв про визнання конкурсних (поточних) кредиторських вимог Головного управління у справах про банкрутство, участь в судових засіданнях а також зборах кредиторів. Формування матеріалів справ про банкрутство в окремі справи, ведення обліку їх руху та журналу судових засідань.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170"/>
                <w:tab w:val="left" w:pos="36" w:leader="none"/>
              </w:tabs>
              <w:suppressAutoHyphens w:val="true"/>
              <w:spacing w:lineRule="auto" w:line="240" w:before="0" w:after="0"/>
              <w:ind w:hanging="0" w:left="-20"/>
              <w:rPr>
                <w:color w:val="000000"/>
                <w:szCs w:val="28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Виконання оперативних доручень та завдань начальника (заступника начальника) юридичного управління, начальника (заступника начальника) відділу організації правової роботи юридичного управління В порядку, визначеному начальником (заступником начальника) юридичного управління, начальником (заступником начальника) відділу організації правової роботи юридичного управління заміщує інших працівників відділу у разі їх відсутності.</w:t>
            </w:r>
          </w:p>
        </w:tc>
      </w:tr>
      <w:tr>
        <w:trPr>
          <w:trHeight w:val="4154" w:hRule="atLeast"/>
        </w:trPr>
        <w:tc>
          <w:tcPr>
            <w:tcW w:w="3511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Умови оплати праці</w:t>
            </w:r>
          </w:p>
        </w:tc>
        <w:tc>
          <w:tcPr>
            <w:tcW w:w="5986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Cs w:val="28"/>
                <w:lang w:val="uk-UA" w:bidi="ar-SA"/>
              </w:rPr>
              <w:t>Посадовий оклад - 20795грн</w:t>
            </w:r>
            <w:r>
              <w:rPr>
                <w:rFonts w:eastAsia="Times New Roman" w:cs="Times New Roman"/>
                <w:bCs/>
                <w:color w:themeColor="text1" w:val="000000"/>
                <w:kern w:val="0"/>
                <w:szCs w:val="28"/>
                <w:lang w:val="uk-UA" w:bidi="ar-SA"/>
              </w:rPr>
              <w:t>.</w:t>
            </w:r>
            <w:r>
              <w:rPr>
                <w:rStyle w:val="FontStyle11"/>
                <w:rFonts w:eastAsia="Times New Roman"/>
                <w:i/>
                <w:iCs/>
                <w:color w:themeColor="text1" w:val="000000"/>
                <w:kern w:val="0"/>
                <w:lang w:val="uk-UA" w:bidi="ar-SA"/>
              </w:rPr>
              <w:t xml:space="preserve"> 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0"/>
                <w:lang w:val="uk-UA" w:bidi="ar-SA"/>
              </w:rPr>
              <w:t>згідно із класифікацією посад;</w:t>
            </w:r>
            <w:r>
              <w:rPr>
                <w:rFonts w:eastAsia="Times New Roman" w:cs="Times New Roman"/>
                <w:bCs/>
                <w:kern w:val="0"/>
                <w:szCs w:val="28"/>
                <w:lang w:val="uk-UA" w:bidi="ar-SA"/>
              </w:rPr>
              <w:t xml:space="preserve"> 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0"/>
                <w:lang w:val="uk-UA" w:bidi="ar-SA"/>
              </w:rPr>
              <w:t>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0"/>
                <w:lang w:val="uk-UA" w:bidi="ar-SA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915" w:hRule="atLeast"/>
        </w:trPr>
        <w:tc>
          <w:tcPr>
            <w:tcW w:w="3511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Інформація про строковість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чи безстроковість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призначення на посаду</w:t>
            </w:r>
          </w:p>
        </w:tc>
        <w:tc>
          <w:tcPr>
            <w:tcW w:w="5986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170"/>
                <w:tab w:val="left" w:pos="977" w:leader="none"/>
              </w:tabs>
              <w:suppressAutoHyphens w:val="true"/>
              <w:spacing w:lineRule="auto" w:line="240" w:before="0" w:after="0"/>
              <w:ind w:hanging="0" w:right="110"/>
              <w:rPr>
                <w:szCs w:val="28"/>
              </w:rPr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Cs w:val="28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497" w:type="dxa"/>
            <w:gridSpan w:val="4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Кваліфікаційні вимоги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i/>
                <w:iCs/>
                <w:kern w:val="0"/>
                <w:sz w:val="28"/>
                <w:szCs w:val="28"/>
                <w:lang w:val="uk-UA" w:eastAsia="uk-UA" w:bidi="ar-SA"/>
              </w:rPr>
              <w:t>Обов’язковою</w:t>
            </w:r>
            <w:r>
              <w:rPr>
                <w:rFonts w:eastAsia="Times New Roman" w:cs="Times New Roman"/>
                <w:b/>
                <w:i/>
                <w:iCs/>
                <w:spacing w:val="80"/>
                <w:kern w:val="0"/>
                <w:sz w:val="28"/>
                <w:szCs w:val="28"/>
                <w:lang w:val="uk-UA" w:eastAsia="uk-UA" w:bidi="ar-SA"/>
              </w:rPr>
              <w:t xml:space="preserve"> </w:t>
            </w:r>
            <w:r>
              <w:rPr>
                <w:rFonts w:eastAsia="Times New Roman" w:cs="Times New Roman"/>
                <w:b/>
                <w:i/>
                <w:iCs/>
                <w:kern w:val="0"/>
                <w:sz w:val="28"/>
                <w:szCs w:val="28"/>
                <w:lang w:val="uk-UA" w:eastAsia="uk-UA" w:bidi="ar-SA"/>
              </w:rPr>
              <w:t>вимогою</w:t>
            </w:r>
            <w:r>
              <w:rPr>
                <w:rFonts w:eastAsia="Times New Roman" w:cs="Times New Roman"/>
                <w:b/>
                <w:i/>
                <w:iCs/>
                <w:spacing w:val="80"/>
                <w:kern w:val="0"/>
                <w:sz w:val="28"/>
                <w:szCs w:val="28"/>
                <w:lang w:val="uk-UA" w:eastAsia="uk-UA" w:bidi="ar-SA"/>
              </w:rPr>
              <w:t xml:space="preserve"> </w:t>
            </w:r>
            <w:r>
              <w:rPr>
                <w:rFonts w:eastAsia="Times New Roman" w:cs="Times New Roman"/>
                <w:b/>
                <w:i/>
                <w:iCs/>
                <w:kern w:val="0"/>
                <w:sz w:val="28"/>
                <w:szCs w:val="28"/>
                <w:lang w:val="uk-UA" w:eastAsia="uk-UA" w:bidi="ar-SA"/>
              </w:rPr>
              <w:t>до</w:t>
            </w:r>
            <w:r>
              <w:rPr>
                <w:rFonts w:eastAsia="Times New Roman" w:cs="Times New Roman"/>
                <w:b/>
                <w:i/>
                <w:iCs/>
                <w:spacing w:val="80"/>
                <w:kern w:val="0"/>
                <w:sz w:val="28"/>
                <w:szCs w:val="28"/>
                <w:lang w:val="uk-UA" w:eastAsia="uk-UA" w:bidi="ar-SA"/>
              </w:rPr>
              <w:t xml:space="preserve"> </w:t>
            </w:r>
            <w:r>
              <w:rPr>
                <w:rFonts w:eastAsia="Times New Roman" w:cs="Times New Roman"/>
                <w:b/>
                <w:i/>
                <w:iCs/>
                <w:kern w:val="0"/>
                <w:sz w:val="28"/>
                <w:szCs w:val="28"/>
                <w:lang w:val="uk-UA" w:eastAsia="uk-UA" w:bidi="ar-SA"/>
              </w:rPr>
              <w:t>осіб,</w:t>
            </w:r>
            <w:r>
              <w:rPr>
                <w:rFonts w:eastAsia="Times New Roman" w:cs="Times New Roman"/>
                <w:b/>
                <w:i/>
                <w:iCs/>
                <w:spacing w:val="80"/>
                <w:kern w:val="0"/>
                <w:sz w:val="28"/>
                <w:szCs w:val="28"/>
                <w:lang w:val="uk-UA" w:eastAsia="uk-UA" w:bidi="ar-SA"/>
              </w:rPr>
              <w:t xml:space="preserve"> </w:t>
            </w:r>
            <w:r>
              <w:rPr>
                <w:rFonts w:eastAsia="Times New Roman" w:cs="Times New Roman"/>
                <w:b/>
                <w:i/>
                <w:iCs/>
                <w:kern w:val="0"/>
                <w:sz w:val="28"/>
                <w:szCs w:val="28"/>
                <w:lang w:val="uk-UA" w:eastAsia="uk-UA" w:bidi="ar-SA"/>
              </w:rPr>
              <w:t>які</w:t>
            </w:r>
            <w:r>
              <w:rPr>
                <w:rFonts w:eastAsia="Times New Roman" w:cs="Times New Roman"/>
                <w:b/>
                <w:i/>
                <w:iCs/>
                <w:spacing w:val="80"/>
                <w:kern w:val="0"/>
                <w:sz w:val="28"/>
                <w:szCs w:val="28"/>
                <w:lang w:val="uk-UA" w:eastAsia="uk-UA" w:bidi="ar-SA"/>
              </w:rPr>
              <w:t xml:space="preserve"> </w:t>
            </w:r>
            <w:r>
              <w:rPr>
                <w:rFonts w:eastAsia="Times New Roman" w:cs="Times New Roman"/>
                <w:b/>
                <w:i/>
                <w:iCs/>
                <w:kern w:val="0"/>
                <w:sz w:val="28"/>
                <w:szCs w:val="28"/>
                <w:lang w:val="uk-UA" w:eastAsia="uk-UA" w:bidi="ar-SA"/>
              </w:rPr>
              <w:t>претендують</w:t>
            </w:r>
            <w:r>
              <w:rPr>
                <w:rFonts w:eastAsia="Times New Roman" w:cs="Times New Roman"/>
                <w:b/>
                <w:i/>
                <w:iCs/>
                <w:spacing w:val="80"/>
                <w:kern w:val="0"/>
                <w:sz w:val="28"/>
                <w:szCs w:val="28"/>
                <w:lang w:val="uk-UA" w:eastAsia="uk-UA" w:bidi="ar-SA"/>
              </w:rPr>
              <w:t xml:space="preserve"> </w:t>
            </w:r>
            <w:r>
              <w:rPr>
                <w:rFonts w:eastAsia="Times New Roman" w:cs="Times New Roman"/>
                <w:b/>
                <w:i/>
                <w:iCs/>
                <w:kern w:val="0"/>
                <w:sz w:val="28"/>
                <w:szCs w:val="28"/>
                <w:lang w:val="uk-UA" w:eastAsia="uk-UA" w:bidi="ar-SA"/>
              </w:rPr>
              <w:t>на</w:t>
            </w:r>
            <w:r>
              <w:rPr>
                <w:rFonts w:eastAsia="Times New Roman" w:cs="Times New Roman"/>
                <w:b/>
                <w:i/>
                <w:iCs/>
                <w:spacing w:val="80"/>
                <w:kern w:val="0"/>
                <w:sz w:val="28"/>
                <w:szCs w:val="28"/>
                <w:lang w:val="uk-UA" w:eastAsia="uk-UA" w:bidi="ar-SA"/>
              </w:rPr>
              <w:t xml:space="preserve"> </w:t>
            </w:r>
            <w:r>
              <w:rPr>
                <w:rFonts w:eastAsia="Times New Roman" w:cs="Times New Roman"/>
                <w:b/>
                <w:i/>
                <w:iCs/>
                <w:kern w:val="0"/>
                <w:sz w:val="28"/>
                <w:szCs w:val="28"/>
                <w:lang w:val="uk-UA" w:eastAsia="uk-UA" w:bidi="ar-SA"/>
              </w:rPr>
              <w:t>посаду,</w:t>
            </w:r>
            <w:r>
              <w:rPr>
                <w:rFonts w:eastAsia="Times New Roman" w:cs="Times New Roman"/>
                <w:b/>
                <w:i/>
                <w:iCs/>
                <w:spacing w:val="80"/>
                <w:kern w:val="0"/>
                <w:sz w:val="28"/>
                <w:szCs w:val="28"/>
                <w:lang w:val="uk-UA" w:eastAsia="uk-UA" w:bidi="ar-SA"/>
              </w:rPr>
              <w:t xml:space="preserve"> </w:t>
            </w:r>
            <w:r>
              <w:rPr>
                <w:rFonts w:eastAsia="Times New Roman" w:cs="Times New Roman"/>
                <w:b/>
                <w:i/>
                <w:iCs/>
                <w:kern w:val="0"/>
                <w:sz w:val="28"/>
                <w:szCs w:val="28"/>
                <w:lang w:val="uk-UA" w:eastAsia="uk-UA" w:bidi="ar-SA"/>
              </w:rPr>
              <w:t>є наявність</w:t>
            </w:r>
            <w:r>
              <w:rPr>
                <w:rFonts w:eastAsia="Times New Roman" w:cs="Times New Roman"/>
                <w:b/>
                <w:i/>
                <w:iCs/>
                <w:spacing w:val="-1"/>
                <w:kern w:val="0"/>
                <w:sz w:val="28"/>
                <w:szCs w:val="28"/>
                <w:lang w:val="uk-UA" w:eastAsia="uk-UA" w:bidi="ar-SA"/>
              </w:rPr>
              <w:t xml:space="preserve"> </w:t>
            </w:r>
            <w:r>
              <w:rPr>
                <w:rFonts w:eastAsia="Times New Roman" w:cs="Times New Roman"/>
                <w:b/>
                <w:i/>
                <w:iCs/>
                <w:kern w:val="0"/>
                <w:sz w:val="28"/>
                <w:szCs w:val="28"/>
                <w:lang w:val="uk-UA" w:eastAsia="uk-UA" w:bidi="ar-SA"/>
              </w:rPr>
              <w:t xml:space="preserve">громадянства України та відсутність громадянства інших </w:t>
            </w:r>
            <w:r>
              <w:rPr>
                <w:rFonts w:eastAsia="Times New Roman" w:cs="Times New Roman"/>
                <w:b/>
                <w:i/>
                <w:iCs/>
                <w:spacing w:val="-2"/>
                <w:kern w:val="0"/>
                <w:sz w:val="28"/>
                <w:szCs w:val="28"/>
                <w:lang w:val="uk-UA" w:eastAsia="uk-UA" w:bidi="ar-SA"/>
              </w:rPr>
              <w:t>держав.</w:t>
            </w:r>
          </w:p>
        </w:tc>
      </w:tr>
      <w:tr>
        <w:trPr/>
        <w:tc>
          <w:tcPr>
            <w:tcW w:w="540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1.</w:t>
            </w:r>
          </w:p>
        </w:tc>
        <w:tc>
          <w:tcPr>
            <w:tcW w:w="3004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Освіта</w:t>
            </w:r>
          </w:p>
        </w:tc>
        <w:tc>
          <w:tcPr>
            <w:tcW w:w="59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 xml:space="preserve">вища освіта за освітнім ступенем не нижче  молодшого бакалавра, бакалавра </w:t>
            </w:r>
            <w:r>
              <w:rPr>
                <w:rFonts w:eastAsia="Times New Roman" w:cs="Times New Roman"/>
                <w:color w:val="000000"/>
                <w:kern w:val="0"/>
                <w:sz w:val="31"/>
                <w:szCs w:val="31"/>
                <w:lang w:val="uk-UA" w:bidi="ar-SA"/>
              </w:rPr>
              <w:t>у галузі знань «Право»</w:t>
            </w:r>
          </w:p>
        </w:tc>
      </w:tr>
      <w:tr>
        <w:trPr/>
        <w:tc>
          <w:tcPr>
            <w:tcW w:w="540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2.</w:t>
            </w:r>
          </w:p>
        </w:tc>
        <w:tc>
          <w:tcPr>
            <w:tcW w:w="3004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Досвід роботи</w:t>
            </w:r>
          </w:p>
        </w:tc>
        <w:tc>
          <w:tcPr>
            <w:tcW w:w="59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28"/>
              <w:rPr>
                <w:bCs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shd w:fill="FFFFFF" w:val="clear"/>
                <w:lang w:val="uk-UA" w:bidi="ar-SA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40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3.</w:t>
            </w:r>
          </w:p>
        </w:tc>
        <w:tc>
          <w:tcPr>
            <w:tcW w:w="3004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Володіння державною мовою</w:t>
            </w:r>
          </w:p>
        </w:tc>
        <w:tc>
          <w:tcPr>
            <w:tcW w:w="59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вільне володіння державною мовою</w:t>
            </w:r>
          </w:p>
        </w:tc>
      </w:tr>
      <w:tr>
        <w:trPr>
          <w:trHeight w:val="239" w:hRule="atLeast"/>
        </w:trPr>
        <w:tc>
          <w:tcPr>
            <w:tcW w:w="54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  <w:tc>
          <w:tcPr>
            <w:tcW w:w="8957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 w:left="169"/>
              <w:jc w:val="center"/>
              <w:rPr>
                <w:b/>
                <w:szCs w:val="28"/>
              </w:rPr>
            </w:pPr>
            <w:r>
              <w:rPr>
                <w:rFonts w:eastAsia="Times New Roman" w:cs="Times New Roman"/>
                <w:b/>
                <w:kern w:val="0"/>
                <w:szCs w:val="28"/>
                <w:lang w:val="uk-UA" w:bidi="ar-SA"/>
              </w:rPr>
              <w:t>Вимоги до компетентності</w:t>
            </w:r>
          </w:p>
        </w:tc>
      </w:tr>
      <w:tr>
        <w:trPr>
          <w:trHeight w:val="360" w:hRule="atLeast"/>
        </w:trPr>
        <w:tc>
          <w:tcPr>
            <w:tcW w:w="54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1.</w:t>
            </w:r>
          </w:p>
        </w:tc>
        <w:tc>
          <w:tcPr>
            <w:tcW w:w="297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Якісне виконання поставлених завдань</w:t>
            </w:r>
          </w:p>
        </w:tc>
        <w:tc>
          <w:tcPr>
            <w:tcW w:w="5986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170"/>
                <w:tab w:val="left" w:pos="398" w:leader="none"/>
              </w:tabs>
              <w:suppressAutoHyphens w:val="true"/>
              <w:spacing w:lineRule="auto" w:line="240" w:before="0" w:after="0"/>
              <w:ind w:hanging="0" w:right="-8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 xml:space="preserve">- </w:t>
            </w: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170"/>
                <w:tab w:val="left" w:pos="398" w:leader="none"/>
              </w:tabs>
              <w:suppressAutoHyphens w:val="true"/>
              <w:spacing w:lineRule="auto" w:line="240" w:before="0" w:after="0"/>
              <w:ind w:hanging="0" w:right="-8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hanging="142" w:left="20" w:right="-80"/>
              <w:contextualSpacing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 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234" w:hRule="atLeast"/>
        </w:trPr>
        <w:tc>
          <w:tcPr>
            <w:tcW w:w="54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2.</w:t>
            </w:r>
          </w:p>
        </w:tc>
        <w:tc>
          <w:tcPr>
            <w:tcW w:w="297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 w:left="32" w:right="106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Відповідальність, командна робота та взаємодія</w:t>
            </w:r>
          </w:p>
        </w:tc>
        <w:tc>
          <w:tcPr>
            <w:tcW w:w="5986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170"/>
                <w:tab w:val="left" w:pos="190" w:leader="none"/>
              </w:tabs>
              <w:suppressAutoHyphens w:val="true"/>
              <w:spacing w:lineRule="auto" w:line="240" w:before="0" w:after="0"/>
              <w:ind w:hanging="0" w:left="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170"/>
                <w:tab w:val="left" w:pos="190" w:leader="none"/>
              </w:tabs>
              <w:suppressAutoHyphens w:val="true"/>
              <w:spacing w:lineRule="auto" w:line="240" w:before="0" w:after="0"/>
              <w:ind w:hanging="0" w:left="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170"/>
                <w:tab w:val="left" w:pos="190" w:leader="none"/>
              </w:tabs>
              <w:suppressAutoHyphens w:val="true"/>
              <w:spacing w:lineRule="auto" w:line="240" w:before="0" w:after="0"/>
              <w:ind w:hanging="0" w:left="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cs61116938"/>
              <w:widowControl/>
              <w:suppressAutoHyphens w:val="true"/>
              <w:spacing w:beforeAutospacing="0" w:before="0" w:afterAutospacing="0" w:after="0"/>
              <w:ind w:hanging="0" w:right="2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 xml:space="preserve">-вміння працювати в 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команді та командної взаємодії.</w:t>
            </w:r>
          </w:p>
        </w:tc>
      </w:tr>
      <w:tr>
        <w:trPr>
          <w:trHeight w:val="198" w:hRule="atLeast"/>
        </w:trPr>
        <w:tc>
          <w:tcPr>
            <w:tcW w:w="54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3.</w:t>
            </w:r>
          </w:p>
        </w:tc>
        <w:tc>
          <w:tcPr>
            <w:tcW w:w="2971" w:type="dxa"/>
            <w:tcBorders/>
          </w:tcPr>
          <w:p>
            <w:pPr>
              <w:pStyle w:val="cs66e64e55"/>
              <w:widowControl/>
              <w:suppressAutoHyphens w:val="true"/>
              <w:spacing w:lineRule="atLeast" w:line="183" w:before="0" w:after="280"/>
              <w:jc w:val="both"/>
              <w:rPr>
                <w:rFonts w:ascii="Times New Roman" w:hAnsi="Times New Roman" w:eastAsia="Times New Roman" w:cs="Times New Roman"/>
                <w:kern w:val="0"/>
                <w:lang w:val="uk-UA" w:bidi="ar-SA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Аналітичні здібності та обґрунтування власної позиції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5986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170"/>
                <w:tab w:val="left" w:pos="190" w:leader="none"/>
              </w:tabs>
              <w:suppressAutoHyphens w:val="true"/>
              <w:spacing w:lineRule="auto" w:line="240" w:before="0" w:after="0"/>
              <w:ind w:hanging="0" w:left="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170"/>
                <w:tab w:val="left" w:pos="190" w:leader="none"/>
              </w:tabs>
              <w:suppressAutoHyphens w:val="true"/>
              <w:spacing w:lineRule="auto" w:line="240" w:before="0" w:after="0"/>
              <w:ind w:hanging="0" w:left="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right="280"/>
              <w:rPr>
                <w:color w:val="000000"/>
                <w:szCs w:val="28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rFonts w:eastAsia="Times New Roman" w:cs="Times New Roman"/>
                <w:bCs/>
                <w:color w:val="000000"/>
                <w:kern w:val="0"/>
                <w:szCs w:val="28"/>
                <w:lang w:val="uk-UA" w:bidi="ar-SA"/>
              </w:rPr>
              <w:t>.</w:t>
            </w:r>
          </w:p>
        </w:tc>
      </w:tr>
      <w:tr>
        <w:trPr>
          <w:trHeight w:val="378" w:hRule="atLeast"/>
        </w:trPr>
        <w:tc>
          <w:tcPr>
            <w:tcW w:w="9497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rFonts w:eastAsia="Times New Roman" w:cs="Times New Roman"/>
                <w:b/>
                <w:kern w:val="0"/>
                <w:szCs w:val="28"/>
                <w:lang w:val="uk-UA" w:bidi="ar-SA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3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 xml:space="preserve">               </w:t>
            </w: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Вимоги</w:t>
            </w:r>
          </w:p>
        </w:tc>
        <w:tc>
          <w:tcPr>
            <w:tcW w:w="595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rPr>
                <w:b/>
                <w:szCs w:val="28"/>
              </w:rPr>
            </w:pPr>
            <w:r>
              <w:rPr>
                <w:rFonts w:eastAsia="Times New Roman" w:cs="Times New Roman"/>
                <w:b/>
                <w:kern w:val="0"/>
                <w:szCs w:val="28"/>
                <w:lang w:val="uk-UA" w:bidi="ar-SA"/>
              </w:rPr>
              <w:t>Компоненти вимоги</w:t>
            </w:r>
          </w:p>
        </w:tc>
      </w:tr>
      <w:tr>
        <w:trPr>
          <w:trHeight w:val="210" w:hRule="atLeast"/>
        </w:trPr>
        <w:tc>
          <w:tcPr>
            <w:tcW w:w="540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1.</w:t>
            </w:r>
          </w:p>
        </w:tc>
        <w:tc>
          <w:tcPr>
            <w:tcW w:w="3004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Знання законодавства</w:t>
            </w:r>
          </w:p>
        </w:tc>
        <w:tc>
          <w:tcPr>
            <w:tcW w:w="5953" w:type="dxa"/>
            <w:tcBorders/>
          </w:tcPr>
          <w:p>
            <w:pPr>
              <w:pStyle w:val="cs66e64e55"/>
              <w:widowControl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Знання:</w:t>
            </w:r>
          </w:p>
          <w:p>
            <w:pPr>
              <w:pStyle w:val="cs66e64e55"/>
              <w:widowControl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- Конституції України;</w:t>
            </w:r>
          </w:p>
          <w:p>
            <w:pPr>
              <w:pStyle w:val="cs66e64e55"/>
              <w:widowControl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- Закону України «Про запобігання корупції»;</w:t>
            </w:r>
          </w:p>
          <w:p>
            <w:pPr>
              <w:pStyle w:val="cs66e64e55"/>
              <w:widowControl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 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- Закону України «Про державну службу»;</w:t>
            </w:r>
          </w:p>
          <w:p>
            <w:pPr>
              <w:pStyle w:val="cs66e64e55"/>
              <w:widowControl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-</w:t>
            </w:r>
            <w:r>
              <w:rPr>
                <w:rStyle w:val="cs23fb0664"/>
                <w:rFonts w:eastAsia="Times New Roman" w:cs="Times New Roman"/>
                <w:color w:val="000000"/>
                <w:kern w:val="0"/>
                <w:lang w:val="uk-UA" w:bidi="ar-SA"/>
              </w:rPr>
              <w:t> 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Закон України “Про доступ до публічної інформації”</w:t>
            </w:r>
          </w:p>
          <w:p>
            <w:pPr>
              <w:pStyle w:val="cs66e64e55"/>
              <w:widowControl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- Закон України “Про захист персональних даних”.</w:t>
            </w:r>
          </w:p>
        </w:tc>
      </w:tr>
      <w:tr>
        <w:trPr>
          <w:trHeight w:val="210" w:hRule="atLeast"/>
        </w:trPr>
        <w:tc>
          <w:tcPr>
            <w:tcW w:w="540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2.</w:t>
            </w:r>
          </w:p>
        </w:tc>
        <w:tc>
          <w:tcPr>
            <w:tcW w:w="3004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Знання законодавства у сфері</w:t>
            </w:r>
          </w:p>
        </w:tc>
        <w:tc>
          <w:tcPr>
            <w:tcW w:w="5953" w:type="dxa"/>
            <w:tcBorders/>
          </w:tcPr>
          <w:p>
            <w:pPr>
              <w:pStyle w:val="csd270a203"/>
              <w:widowControl/>
              <w:suppressAutoHyphens w:val="true"/>
              <w:spacing w:beforeAutospacing="0" w:before="0" w:afterAutospacing="0" w:after="0"/>
              <w:jc w:val="both"/>
              <w:rPr>
                <w:rFonts w:ascii="Times New Roman" w:hAnsi="Times New Roman" w:eastAsia="Times New Roman" w:cs="Times New Roman"/>
                <w:kern w:val="0"/>
                <w:lang w:val="uk-UA" w:bidi="ar-SA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Знання:</w:t>
            </w:r>
          </w:p>
          <w:p>
            <w:pPr>
              <w:pStyle w:val="csd270a203"/>
              <w:widowControl/>
              <w:suppressAutoHyphens w:val="true"/>
              <w:spacing w:beforeAutospacing="0" w:before="0" w:afterAutospacing="0" w:after="0"/>
              <w:jc w:val="both"/>
              <w:rPr>
                <w:rFonts w:ascii="Times New Roman" w:hAnsi="Times New Roman" w:eastAsia="Times New Roman" w:cs="Times New Roman"/>
                <w:kern w:val="0"/>
                <w:lang w:val="uk-UA" w:bidi="ar-SA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- Кодекс адміністративного судочинства України;</w:t>
            </w:r>
          </w:p>
          <w:p>
            <w:pPr>
              <w:pStyle w:val="csd270a203"/>
              <w:widowControl/>
              <w:suppressAutoHyphens w:val="true"/>
              <w:spacing w:beforeAutospacing="0" w:before="0" w:afterAutospacing="0" w:after="0"/>
              <w:jc w:val="both"/>
              <w:rPr>
                <w:rFonts w:ascii="Times New Roman" w:hAnsi="Times New Roman" w:eastAsia="Times New Roman" w:cs="Times New Roman"/>
                <w:kern w:val="0"/>
                <w:lang w:val="uk-UA" w:bidi="ar-SA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- Закону України «Про виконавче провадження»;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 Закону України «Про загальнообов’язкове державне пенсійне страхування».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szCs w:val="28"/>
              </w:rPr>
            </w:pPr>
            <w:r>
              <w:rPr>
                <w:szCs w:val="28"/>
              </w:rPr>
            </w:r>
          </w:p>
        </w:tc>
      </w:tr>
    </w:tbl>
    <w:p>
      <w:pPr>
        <w:pStyle w:val="Style17"/>
        <w:ind w:hanging="0"/>
        <w:jc w:val="center"/>
        <w:rPr>
          <w:bCs/>
          <w:szCs w:val="28"/>
        </w:rPr>
      </w:pPr>
      <w:r>
        <w:rPr>
          <w:bCs/>
          <w:szCs w:val="28"/>
        </w:rPr>
        <w:t>___________________________________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567" w:gutter="0" w:header="567" w:top="624" w:footer="567" w:bottom="113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mc:AlternateContent>
        <mc:Choice Requires="wps">
          <w:drawing>
            <wp:anchor behindDoc="1" distT="0" distB="0" distL="635" distR="0" simplePos="0" locked="0" layoutInCell="0" allowOverlap="1" relativeHeight="2" wp14:anchorId="18785C1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78635" cy="1778635"/>
              <wp:effectExtent l="635" t="0" r="0" b="0"/>
              <wp:wrapNone/>
              <wp:docPr id="1" name="shape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8760" cy="1778760"/>
                      </a:xfrm>
                      <a:custGeom>
                        <a:avLst/>
                        <a:gdLst>
                          <a:gd name="textAreaLeft" fmla="*/ 0 w 1008360"/>
                          <a:gd name="textAreaRight" fmla="*/ 1011960 w 1008360"/>
                          <a:gd name="textAreaTop" fmla="*/ 0 h 1008360"/>
                          <a:gd name="textAreaBottom" fmla="*/ 1011960 h 1008360"/>
                          <a:gd name="GluePoint1X" fmla="*/ 4943 w 4944"/>
                          <a:gd name="GluePoint1Y" fmla="*/ 4941 h 4942"/>
                          <a:gd name="GluePoint2X" fmla="*/ 0 w 4944"/>
                          <a:gd name="GluePoint2Y" fmla="*/ 4941 h 4942"/>
                          <a:gd name="GluePoint3X" fmla="*/ 0 w 4944"/>
                          <a:gd name="GluePoint3Y" fmla="*/ 0 h 4942"/>
                          <a:gd name="GluePoint4X" fmla="*/ 4943 w 4944"/>
                          <a:gd name="GluePoint4Y" fmla="*/ 0 h 4942"/>
                          <a:gd name="GluePoint5X" fmla="*/ 4943 w 4944"/>
                          <a:gd name="GluePoint5Y" fmla="*/ 4941 h 4942"/>
                        </a:gdLst>
                        <a:ahLst/>
                        <a:cxnLst>
                          <a:cxn ang="0">
                            <a:pos x="GluePoint1X" y="GluePoint1Y"/>
                          </a:cxn>
                          <a:cxn ang="0">
                            <a:pos x="GluePoint2X" y="GluePoint2Y"/>
                          </a:cxn>
                          <a:cxn ang="0">
                            <a:pos x="GluePoint3X" y="GluePoint3Y"/>
                          </a:cxn>
                          <a:cxn ang="0">
                            <a:pos x="GluePoint4X" y="GluePoint4Y"/>
                          </a:cxn>
                          <a:cxn ang="0">
                            <a:pos x="GluePoint5X" y="GluePoint5Y"/>
                          </a:cxn>
                        </a:cxnLst>
                        <a:rect l="textAreaLeft" t="textAreaTop" r="textAreaRight" b="textAreaBottom"/>
                        <a:pathLst>
                          <a:path w="4944" h="4942">
                            <a:moveTo>
                              <a:pt x="4943" y="4941"/>
                            </a:moveTo>
                            <a:lnTo>
                              <a:pt x="0" y="4941"/>
                            </a:lnTo>
                            <a:lnTo>
                              <a:pt x="0" y="0"/>
                            </a:lnTo>
                            <a:lnTo>
                              <a:pt x="4943" y="0"/>
                            </a:lnTo>
                            <a:lnTo>
                              <a:pt x="4943" y="4941"/>
                            </a:lnTo>
                          </a:path>
                        </a:pathLst>
                      </a:cu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mc:AlternateContent>
        <mc:Choice Requires="wps">
          <w:drawing>
            <wp:anchor behindDoc="1" distT="0" distB="635" distL="0" distR="0" simplePos="0" locked="0" layoutInCell="0" allowOverlap="1" relativeHeight="6" wp14:anchorId="5C709FA9">
              <wp:simplePos x="0" y="0"/>
              <wp:positionH relativeFrom="margin">
                <wp:align>center</wp:align>
              </wp:positionH>
              <wp:positionV relativeFrom="paragraph">
                <wp:posOffset>-23589615</wp:posOffset>
              </wp:positionV>
              <wp:extent cx="3933190" cy="1551940"/>
              <wp:effectExtent l="0" t="0" r="0" b="635"/>
              <wp:wrapNone/>
              <wp:docPr id="2" name="shape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33360" cy="1551960"/>
                      </a:xfrm>
                      <a:custGeom>
                        <a:avLst/>
                        <a:gdLst>
                          <a:gd name="textAreaLeft" fmla="*/ 0 w 2229840"/>
                          <a:gd name="textAreaRight" fmla="*/ 2233440 w 2229840"/>
                          <a:gd name="textAreaTop" fmla="*/ 0 h 879840"/>
                          <a:gd name="textAreaBottom" fmla="*/ 883440 h 879840"/>
                          <a:gd name="GluePoint1X" fmla="*/ 10928 w 10929"/>
                          <a:gd name="GluePoint1Y" fmla="*/ 4313 h 4314"/>
                          <a:gd name="GluePoint2X" fmla="*/ 10928 w 10929"/>
                          <a:gd name="GluePoint2Y" fmla="*/ 0 h 4314"/>
                          <a:gd name="GluePoint3X" fmla="*/ 10928 w 10929"/>
                          <a:gd name="GluePoint3Y" fmla="*/ 4313 h 4314"/>
                          <a:gd name="GluePoint4X" fmla="*/ 0 w 10929"/>
                          <a:gd name="GluePoint4Y" fmla="*/ 4313 h 4314"/>
                          <a:gd name="GluePoint5X" fmla="*/ 0 w 10929"/>
                          <a:gd name="GluePoint5Y" fmla="*/ 0 h 4314"/>
                        </a:gdLst>
                        <a:ahLst/>
                        <a:cxnLst>
                          <a:cxn ang="0">
                            <a:pos x="GluePoint1X" y="GluePoint1Y"/>
                          </a:cxn>
                          <a:cxn ang="0">
                            <a:pos x="GluePoint2X" y="GluePoint2Y"/>
                          </a:cxn>
                          <a:cxn ang="0">
                            <a:pos x="GluePoint3X" y="GluePoint3Y"/>
                          </a:cxn>
                          <a:cxn ang="0">
                            <a:pos x="GluePoint4X" y="GluePoint4Y"/>
                          </a:cxn>
                          <a:cxn ang="0">
                            <a:pos x="GluePoint5X" y="GluePoint5Y"/>
                          </a:cxn>
                        </a:cxnLst>
                        <a:rect l="textAreaLeft" t="textAreaTop" r="textAreaRight" b="textAreaBottom"/>
                        <a:pathLst>
                          <a:path w="10929" h="4314">
                            <a:moveTo>
                              <a:pt x="10928" y="4313"/>
                            </a:moveTo>
                            <a:lnTo>
                              <a:pt x="10928" y="0"/>
                            </a:lnTo>
                            <a:lnTo>
                              <a:pt x="10928" y="4313"/>
                            </a:lnTo>
                            <a:lnTo>
                              <a:pt x="0" y="4313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17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разрешенное упоминание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" w:cstheme="minorBidi" w:eastAsiaTheme="minorHAnsi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Style13" w:customStyle="1">
    <w:name w:val="Підзаголовок Знак"/>
    <w:basedOn w:val="DefaultParagraphFont"/>
    <w:uiPriority w:val="99"/>
    <w:qFormat/>
    <w:rsid w:val="00de0c41"/>
    <w:rPr>
      <w:b/>
      <w:sz w:val="28"/>
    </w:rPr>
  </w:style>
  <w:style w:type="character" w:styleId="FontStyle11" w:customStyle="1">
    <w:name w:val="Font Style11"/>
    <w:basedOn w:val="DefaultParagraphFont"/>
    <w:uiPriority w:val="99"/>
    <w:qFormat/>
    <w:rsid w:val="00d76ed3"/>
    <w:rPr>
      <w:rFonts w:ascii="Times New Roman" w:hAnsi="Times New Roman" w:cs="Times New Roman"/>
      <w:sz w:val="26"/>
      <w:szCs w:val="26"/>
    </w:rPr>
  </w:style>
  <w:style w:type="character" w:styleId="csd2c743de" w:customStyle="1">
    <w:name w:val="csd2c743de"/>
    <w:basedOn w:val="DefaultParagraphFont"/>
    <w:qFormat/>
    <w:rsid w:val="00942a1b"/>
    <w:rPr/>
  </w:style>
  <w:style w:type="character" w:styleId="cs23fb0664" w:customStyle="1">
    <w:name w:val="cs23fb0664"/>
    <w:basedOn w:val="DefaultParagraphFont"/>
    <w:qFormat/>
    <w:rsid w:val="00942a1b"/>
    <w:rPr/>
  </w:style>
  <w:style w:type="character" w:styleId="31" w:customStyle="1">
    <w:name w:val="Заголовок 3 Знак"/>
    <w:basedOn w:val="DefaultParagraphFont"/>
    <w:qFormat/>
    <w:rsid w:val="003536e7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ac24ac"/>
    <w:rPr>
      <w:b/>
      <w:bCs/>
    </w:rPr>
  </w:style>
  <w:style w:type="character" w:styleId="11" w:customStyle="1">
    <w:name w:val="Незакрита згадка1"/>
    <w:basedOn w:val="DefaultParagraphFont"/>
    <w:qFormat/>
    <w:rsid w:val="00ac24ac"/>
    <w:rPr>
      <w:color w:val="605E5C"/>
      <w:shd w:fill="E1DFDD" w:val="clear"/>
    </w:rPr>
  </w:style>
  <w:style w:type="character" w:styleId="rvts0">
    <w:name w:val="rvts0"/>
    <w:qFormat/>
    <w:rPr>
      <w:rFonts w:cs="Times New Roman"/>
    </w:rPr>
  </w:style>
  <w:style w:type="paragraph" w:styleId="Style14" w:customStyle="1">
    <w:name w:val="Заголовок"/>
    <w:basedOn w:val="Normal"/>
    <w:next w:val="BodyText"/>
    <w:qFormat/>
    <w:rsid w:val="00ac24ac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ac24ac"/>
    <w:pPr/>
    <w:rPr>
      <w:rFonts w:cs="Lucida Sans"/>
    </w:rPr>
  </w:style>
  <w:style w:type="paragraph" w:styleId="Caption">
    <w:name w:val="caption"/>
    <w:basedOn w:val="Normal"/>
    <w:qFormat/>
    <w:rsid w:val="00ac24a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 w:customStyle="1">
    <w:name w:val="Покажчик"/>
    <w:basedOn w:val="Normal"/>
    <w:qFormat/>
    <w:rsid w:val="00ac24ac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ac24ac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ac24ac"/>
    <w:pPr>
      <w:suppressLineNumbers/>
    </w:pPr>
    <w:rPr>
      <w:rFonts w:cs="Lucida Sans"/>
    </w:rPr>
  </w:style>
  <w:style w:type="paragraph" w:styleId="user2" w:customStyle="1">
    <w:name w:val="Верхній і нижній колонтитули (user)"/>
    <w:basedOn w:val="Normal"/>
    <w:qFormat/>
    <w:rsid w:val="00ac24ac"/>
    <w:pPr/>
    <w:rPr/>
  </w:style>
  <w:style w:type="paragraph" w:styleId="Style16" w:customStyle="1">
    <w:name w:val="Верхній і нижній колонтитули"/>
    <w:basedOn w:val="Normal"/>
    <w:qFormat/>
    <w:rsid w:val="00ac24ac"/>
    <w:pPr/>
    <w:rPr/>
  </w:style>
  <w:style w:type="paragraph" w:styleId="Footer">
    <w:name w:val="footer"/>
    <w:basedOn w:val="Normal"/>
    <w:rsid w:val="00a0742f"/>
    <w:pPr>
      <w:tabs>
        <w:tab w:val="clear" w:pos="170"/>
        <w:tab w:val="center" w:pos="4153" w:leader="none"/>
        <w:tab w:val="right" w:pos="8306" w:leader="none"/>
      </w:tabs>
    </w:pPr>
    <w:rPr/>
  </w:style>
  <w:style w:type="paragraph" w:styleId="Style17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8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170"/>
        <w:tab w:val="center" w:pos="4153" w:leader="none"/>
        <w:tab w:val="right" w:pos="8306" w:leader="none"/>
      </w:tabs>
    </w:pPr>
    <w:rPr/>
  </w:style>
  <w:style w:type="paragraph" w:styleId="12" w:customStyle="1">
    <w:name w:val="Підпис1"/>
    <w:basedOn w:val="Normal"/>
    <w:qFormat/>
    <w:rsid w:val="00a0742f"/>
    <w:pPr>
      <w:keepLines/>
      <w:tabs>
        <w:tab w:val="clear" w:pos="17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9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0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1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2" w:customStyle="1">
    <w:name w:val="Вид документа"/>
    <w:basedOn w:val="Style21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3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4" w:customStyle="1">
    <w:name w:val="Назва документа"/>
    <w:basedOn w:val="Normal"/>
    <w:next w:val="Style17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 w:cs="" w:cstheme="minorBidi" w:eastAsiaTheme="minorHAns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197d14"/>
    <w:pPr>
      <w:spacing w:before="0" w:after="0"/>
      <w:ind w:left="720"/>
      <w:contextualSpacing/>
    </w:pPr>
    <w:rPr/>
  </w:style>
  <w:style w:type="paragraph" w:styleId="Subtitle">
    <w:name w:val="Subtitle"/>
    <w:basedOn w:val="Normal"/>
    <w:link w:val="Style13"/>
    <w:uiPriority w:val="99"/>
    <w:qFormat/>
    <w:rsid w:val="00de0c41"/>
    <w:pPr>
      <w:spacing w:lineRule="auto" w:line="240"/>
      <w:ind w:hanging="0"/>
      <w:jc w:val="center"/>
    </w:pPr>
    <w:rPr>
      <w:b/>
    </w:rPr>
  </w:style>
  <w:style w:type="paragraph" w:styleId="13" w:customStyle="1">
    <w:name w:val="Звичайний1"/>
    <w:qFormat/>
    <w:rsid w:val="00551e65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cs75c6c94b" w:customStyle="1">
    <w:name w:val="cs75c6c94b"/>
    <w:basedOn w:val="Normal"/>
    <w:qFormat/>
    <w:rsid w:val="00942a1b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1116938" w:customStyle="1">
    <w:name w:val="cs61116938"/>
    <w:basedOn w:val="Normal"/>
    <w:qFormat/>
    <w:rsid w:val="00942a1b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6e64e55" w:customStyle="1">
    <w:name w:val="cs66e64e55"/>
    <w:basedOn w:val="Normal"/>
    <w:qFormat/>
    <w:rsid w:val="00942a1b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d270a203" w:customStyle="1">
    <w:name w:val="csd270a203"/>
    <w:basedOn w:val="Normal"/>
    <w:qFormat/>
    <w:rsid w:val="00942a1b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user3" w:customStyle="1">
    <w:name w:val="Вміст рамки (user)"/>
    <w:basedOn w:val="Normal"/>
    <w:qFormat/>
    <w:rsid w:val="00ac24ac"/>
    <w:pPr/>
    <w:rPr/>
  </w:style>
  <w:style w:type="paragraph" w:styleId="Style25" w:customStyle="1">
    <w:name w:val="Вміст рамки"/>
    <w:basedOn w:val="Normal"/>
    <w:qFormat/>
    <w:rsid w:val="00ac24ac"/>
    <w:pPr/>
    <w:rPr/>
  </w:style>
  <w:style w:type="paragraph" w:styleId="311" w:customStyle="1">
    <w:name w:val="Основной текст (3)1"/>
    <w:basedOn w:val="Normal"/>
    <w:qFormat/>
    <w:rsid w:val="00ac24ac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7c5251be">
    <w:name w:val="cs7c5251be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Style26">
    <w:name w:val="Вміст таблиці"/>
    <w:basedOn w:val="Normal"/>
    <w:qFormat/>
    <w:pPr>
      <w:widowControl w:val="false"/>
      <w:suppressLineNumbers/>
    </w:pPr>
    <w:rPr/>
  </w:style>
  <w:style w:type="paragraph" w:styleId="Style27">
    <w:name w:val="Заголовок таблиці"/>
    <w:basedOn w:val="Style26"/>
    <w:qFormat/>
    <w:pPr>
      <w:jc w:val="center"/>
    </w:pPr>
    <w:rPr>
      <w:b/>
      <w:bCs/>
    </w:rPr>
  </w:style>
  <w:style w:type="paragraph" w:styleId="cse2a94784">
    <w:name w:val="cse2a94784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fb0aa375">
    <w:name w:val="csfb0aa375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numbering" w:styleId="user4" w:customStyle="1">
    <w:name w:val="Без маркерів (user)"/>
    <w:uiPriority w:val="99"/>
    <w:semiHidden/>
    <w:unhideWhenUsed/>
    <w:qFormat/>
    <w:rsid w:val="00ac24ac"/>
  </w:style>
  <w:style w:type="numbering" w:styleId="Style28" w:customStyle="1">
    <w:name w:val="Без маркерів"/>
    <w:qFormat/>
    <w:rsid w:val="00ac24ac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9F3AF-5579-4624-B64A-161A48DE5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LibreOffice/26.2.0.3$Windows_X86_64 LibreOffice_project/620$Build-3</Application>
  <AppVersion>15.0000</AppVersion>
  <Pages>5</Pages>
  <Words>912</Words>
  <Characters>6369</Characters>
  <CharactersWithSpaces>7218</CharactersWithSpaces>
  <Paragraphs>70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2026-06-01T07:48:00Z</dcterms:created>
  <dc:creator>1-1</dc:creator>
  <dc:description/>
  <dc:language>uk-UA</dc:language>
  <cp:lastModifiedBy/>
  <cp:lastPrinted>2021-03-22T13:07:00Z</cp:lastPrinted>
  <dcterms:modified xsi:type="dcterms:W3CDTF">2026-09-02T17:25:40Z</dcterms:modified>
  <cp:revision>15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