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spacing w:lineRule="auto" w:line="240" w:before="0" w:after="0"/>
        <w:ind w:hanging="0" w:left="567"/>
        <w:jc w:val="left"/>
        <w:rPr>
          <w:b w:val="false"/>
          <w:i w:val="false"/>
          <w:szCs w:val="28"/>
          <w:lang w:val="ru-RU"/>
        </w:rPr>
      </w:pPr>
      <w:r>
        <w:rPr>
          <w:b w:val="false"/>
          <w:i w:val="false"/>
          <w:szCs w:val="28"/>
          <w:lang w:val="ru-RU"/>
        </w:rPr>
        <w:t xml:space="preserve">                                                             </w:t>
      </w:r>
    </w:p>
    <w:p>
      <w:pPr>
        <w:pStyle w:val="Normal"/>
        <w:rPr>
          <w:bCs/>
          <w:szCs w:val="24"/>
        </w:rPr>
      </w:pPr>
      <w:r>
        <w:rPr>
          <w:bCs/>
          <w:szCs w:val="28"/>
        </w:rPr>
        <w:t xml:space="preserve">                                                      </w:t>
      </w:r>
      <w:r>
        <w:rPr>
          <w:bCs/>
          <w:szCs w:val="24"/>
        </w:rPr>
        <w:t>Умови</w:t>
      </w:r>
    </w:p>
    <w:p>
      <w:pPr>
        <w:pStyle w:val="Normal"/>
        <w:ind w:hanging="0"/>
        <w:jc w:val="center"/>
        <w:rPr>
          <w:bCs/>
          <w:szCs w:val="24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4"/>
        </w:rPr>
        <w:t xml:space="preserve">на зайняття посади державної служби категорії </w:t>
      </w:r>
      <w:r>
        <w:rPr>
          <w:bCs/>
          <w:szCs w:val="28"/>
        </w:rPr>
        <w:t xml:space="preserve">«В» - </w:t>
      </w:r>
      <w:r>
        <w:rPr>
          <w:color w:val="000000"/>
          <w:szCs w:val="28"/>
        </w:rPr>
        <w:t>головного спеціаліста відділу представництва інтересів в судах та інших органах № 2 юридичного управління (вул. Волоська 36/38)</w:t>
      </w:r>
    </w:p>
    <w:tbl>
      <w:tblPr>
        <w:tblW w:w="9782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</w:tabs>
              <w:spacing w:lineRule="auto" w:line="240"/>
              <w:ind w:hanging="26" w:left="0"/>
              <w:rPr>
                <w:color w:val="000000"/>
                <w:lang w:eastAsia="uk-UA"/>
              </w:rPr>
            </w:pPr>
            <w:bookmarkStart w:id="0" w:name="n85"/>
            <w:bookmarkStart w:id="1" w:name="n186"/>
            <w:bookmarkStart w:id="2" w:name="n92"/>
            <w:bookmarkEnd w:id="0"/>
            <w:bookmarkEnd w:id="1"/>
            <w:bookmarkEnd w:id="2"/>
            <w:r>
              <w:rPr>
                <w:color w:val="000000"/>
                <w:lang w:eastAsia="uk-UA"/>
              </w:rPr>
              <w:t>Ведення претензійно-позовної роботи, здійснення представництва та захист інтересів Головного управління в судах та інших органах під час розгляду правових питань і спорів у справах про пенсійне забезпечення (крім військовослужбовців).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</w:tabs>
              <w:spacing w:lineRule="auto" w:line="240"/>
              <w:ind w:hanging="26" w:left="0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Підготовка заяв по суті справи та заяв з процесуальних питань, апеляційних та касаційних скарг, матеріалів та додатків, та/або участь у підготовці таких матеріалів у спорах з питань, що стосуються пенсійного забезпечення ( крім військовослужбовців), реалізації права на отримання  субсидій та пільг, страхових виплат у зв’язку із тимчасовою втратою працездатності та від нещасного випадку на виробництві чи професійного захворювання, призначення та виплати державних соціальних допомог та пенсійного забезпечення.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</w:tabs>
              <w:spacing w:lineRule="auto" w:line="240"/>
              <w:ind w:hanging="26" w:left="0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Опрацьовування кореспонденції, що надходить від судів на адресу електронної пошти Головного управління, або через підсистему «Електронний суд» Єдиної судової інформаційно-телекомунікаційної системи.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</w:tabs>
              <w:spacing w:lineRule="auto" w:line="240"/>
              <w:ind w:hanging="26" w:left="0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Проведення моніторингу стану розгляду в судах справ, що перебувають в провадженні відділу, в тому числі шляхом використання відомостей з Єдиного державного реєстру судових рішень, електронного кабінету у підсистемі «Електронний суд» ЄСІТС, відстеження інформації на офіційному Веб-порталі «Судова влада України».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</w:tabs>
              <w:spacing w:lineRule="auto" w:line="240"/>
              <w:ind w:hanging="26" w:left="0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Внесення відомостей про стан розгляду судами справ за участю Головного управління та стан виконання Головним управлінням рішень судів про стягнення коштів (крім пенсій) та зобов’язання вчинити дії, не пов’язані з пенсійним забезпеченням, до підсистем “Правова робота” та “Реєстр судових рішень” ІКІС ПФУ.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</w:tabs>
              <w:spacing w:lineRule="auto" w:line="240"/>
              <w:ind w:hanging="26" w:left="0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 межах своєї компетенції розгляд листів, звернень, скарг, інших документів, що надходять до юридичного управління та підготовка проектів відповідей на них. Здійснення ознайомлення з матеріалами виконавчого провадження, стороною в якому є Головне управління, за наявності підстав підготовка процесуальних документів для оскарження рішень, дій або бездіяльності державних виконавців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</w:tabs>
              <w:spacing w:lineRule="auto" w:line="240"/>
              <w:ind w:hanging="26" w:left="0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Забезпечення формування судових справ за участю Головного управління  належними матеріалами, укомплектовування їх судовими рішеннями, іншими матеріалами, що стосуються справи.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</w:tabs>
              <w:spacing w:lineRule="auto" w:line="240"/>
              <w:ind w:hanging="26" w:left="0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Невідкладне повідомлення відповідних структурних підрозділів про набрання законної сили судовими рішеннями про покладення зобов’язань або стягнення коштів з Головного управління.</w:t>
            </w:r>
          </w:p>
          <w:p>
            <w:pPr>
              <w:pStyle w:val="Normal"/>
              <w:numPr>
                <w:ilvl w:val="0"/>
                <w:numId w:val="1"/>
              </w:numPr>
              <w:tabs>
                <w:tab w:val="clear" w:pos="720"/>
              </w:tabs>
              <w:spacing w:lineRule="auto" w:line="240"/>
              <w:ind w:hanging="26" w:left="0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Здійснення підготовки інформації для передачі у відповідні структурні підрозділи для зведення звітних даних за встановленими формами, підготовка пропозицій щодо їх удосконалення.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hanging="26" w:left="0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lang w:eastAsia="uk-UA"/>
              </w:rPr>
              <w:t>В порядку, визначеному начальником (заступником начальника)  юридичного управління, начальником відділу та заступником начальника відділу, заміщення інших працівників відділу у разі їх відсутності.</w:t>
            </w:r>
          </w:p>
        </w:tc>
      </w:tr>
      <w:tr>
        <w:trPr>
          <w:trHeight w:val="4199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</w:t>
            </w:r>
            <w:r>
              <w:rPr>
                <w:color w:val="000000"/>
                <w:szCs w:val="28"/>
              </w:rPr>
              <w:t>20795</w:t>
            </w:r>
            <w:r>
              <w:rPr>
                <w:bCs/>
                <w:szCs w:val="28"/>
              </w:rPr>
              <w:t xml:space="preserve"> грн.(згідно штатного розпису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/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</w:t>
            </w:r>
            <w:r>
              <w:rPr>
                <w:rStyle w:val="csd2c743de"/>
                <w:bCs/>
                <w:color w:val="000000"/>
                <w:sz w:val="27"/>
                <w:szCs w:val="27"/>
              </w:rPr>
              <w:t xml:space="preserve"> України «Про правовий режим воєнного стану».</w:t>
            </w:r>
          </w:p>
          <w:p>
            <w:pPr>
              <w:pStyle w:val="Style18"/>
              <w:spacing w:lineRule="auto" w:line="240" w:before="0" w:after="0"/>
              <w:ind w:hanging="0"/>
              <w:jc w:val="left"/>
              <w:rPr>
                <w:bCs/>
                <w:sz w:val="4"/>
                <w:szCs w:val="28"/>
              </w:rPr>
            </w:pPr>
            <w:r>
              <w:rPr>
                <w:bCs/>
                <w:sz w:val="4"/>
                <w:szCs w:val="28"/>
              </w:rPr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</w:rPr>
            </w:pPr>
            <w:r>
              <w:rPr>
                <w:b/>
              </w:rPr>
              <w:t>Обов’язковою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осіб,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які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претендують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посаду,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є наявність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громадянства України та відсутність громадянства інших </w:t>
            </w:r>
            <w:r>
              <w:rPr>
                <w:b/>
                <w:spacing w:val="-2"/>
              </w:rPr>
              <w:t>держав.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вища освіта за освітнім ступенем не нижче  молодшого бакалавра, бакалавра у галузі знань «Право»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 w:right="272"/>
              <w:jc w:val="left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 w:right="272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hanging="142" w:left="2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" w:leader="none"/>
              </w:tabs>
              <w:spacing w:lineRule="auto" w:line="240"/>
              <w:ind w:hanging="0" w:right="272"/>
              <w:rPr>
                <w:color w:val="000000"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1" w:leader="none"/>
              </w:tabs>
              <w:spacing w:lineRule="auto" w:line="240"/>
              <w:ind w:hanging="0" w:right="272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46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 xml:space="preserve">            </w:t>
            </w: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98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Знання: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 Конституції України;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 Закону України «Про запобігання корупції»;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 </w:t>
            </w:r>
            <w:r>
              <w:rPr>
                <w:rStyle w:val="csd2c743de"/>
                <w:color w:val="000000"/>
                <w:sz w:val="28"/>
                <w:szCs w:val="28"/>
              </w:rPr>
              <w:t>- Закону України «Про державну службу»;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</w:t>
            </w:r>
            <w:r>
              <w:rPr>
                <w:rStyle w:val="cs23fb0664"/>
                <w:color w:val="000000"/>
                <w:sz w:val="28"/>
                <w:szCs w:val="28"/>
              </w:rPr>
              <w:t> </w:t>
            </w:r>
            <w:r>
              <w:rPr>
                <w:rStyle w:val="csd2c743de"/>
                <w:color w:val="000000"/>
                <w:sz w:val="28"/>
                <w:szCs w:val="28"/>
              </w:rPr>
              <w:t>Закон України “Про доступ до публічної інформації”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 Закон України “Про захист персональних даних”.</w:t>
            </w:r>
          </w:p>
        </w:tc>
      </w:tr>
      <w:tr>
        <w:trPr>
          <w:trHeight w:val="1496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d270a203"/>
              <w:spacing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Знання:</w:t>
            </w:r>
          </w:p>
          <w:p>
            <w:pPr>
              <w:pStyle w:val="csd270a203"/>
              <w:spacing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 Кодекс адміністративного судочинства України;</w:t>
            </w:r>
          </w:p>
          <w:p>
            <w:pPr>
              <w:pStyle w:val="csd270a203"/>
              <w:spacing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 Закону України «Про виконавче провадження»;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- Закону України «Про загальнообов’язкове державне пенсійне страхування».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Style18"/>
        <w:ind w:hanging="0"/>
        <w:jc w:val="center"/>
        <w:rPr>
          <w:bCs/>
          <w:szCs w:val="28"/>
        </w:rPr>
      </w:pPr>
      <w:r>
        <w:rPr/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5080" distB="5080" distL="5715" distR="4445" simplePos="0" locked="0" layoutInCell="0" allowOverlap="1" relativeHeight="2" wp14:anchorId="3112453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69745" cy="1772920"/>
              <wp:effectExtent l="5715" t="5080" r="4445" b="5080"/>
              <wp:wrapNone/>
              <wp:docPr id="1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9760" cy="1773000"/>
                      </a:xfrm>
                      <a:custGeom>
                        <a:avLst/>
                        <a:gdLst>
                          <a:gd name="textAreaLeft" fmla="*/ 0 w 1003320"/>
                          <a:gd name="textAreaRight" fmla="*/ 1004760 w 1003320"/>
                          <a:gd name="textAreaTop" fmla="*/ 0 h 1005120"/>
                          <a:gd name="textAreaBottom" fmla="*/ 1006560 h 1005120"/>
                          <a:gd name="GluePoint1X" fmla="*/ 4917 w 4918"/>
                          <a:gd name="GluePoint1Y" fmla="*/ 4926 h 4927"/>
                          <a:gd name="GluePoint2X" fmla="*/ 0 w 4918"/>
                          <a:gd name="GluePoint2Y" fmla="*/ 4926 h 4927"/>
                          <a:gd name="GluePoint3X" fmla="*/ 0 w 4918"/>
                          <a:gd name="GluePoint3Y" fmla="*/ 0 h 4927"/>
                          <a:gd name="GluePoint4X" fmla="*/ 4917 w 4918"/>
                          <a:gd name="GluePoint4Y" fmla="*/ 0 h 4927"/>
                          <a:gd name="GluePoint5X" fmla="*/ 4917 w 4918"/>
                          <a:gd name="GluePoint5Y" fmla="*/ 4926 h 4927"/>
                        </a:gdLst>
                        <a:ahLst/>
                        <a:cxnLst>
                          <a:cxn ang="0">
                            <a:pos x="GluePoint1X" y="GluePoint1Y"/>
                          </a:cxn>
                          <a:cxn ang="0">
                            <a:pos x="GluePoint2X" y="GluePoint2Y"/>
                          </a:cxn>
                          <a:cxn ang="0">
                            <a:pos x="GluePoint3X" y="GluePoint3Y"/>
                          </a:cxn>
                          <a:cxn ang="0">
                            <a:pos x="GluePoint4X" y="GluePoint4Y"/>
                          </a:cxn>
                          <a:cxn ang="0">
                            <a:pos x="GluePoint5X" y="GluePoint5Y"/>
                          </a:cxn>
                        </a:cxnLst>
                        <a:rect l="textAreaLeft" t="textAreaTop" r="textAreaRight" b="textAreaBottom"/>
                        <a:pathLst>
                          <a:path w="4918" h="4927">
                            <a:moveTo>
                              <a:pt x="4917" y="4926"/>
                            </a:moveTo>
                            <a:lnTo>
                              <a:pt x="0" y="4926"/>
                            </a:lnTo>
                            <a:lnTo>
                              <a:pt x="0" y="0"/>
                            </a:lnTo>
                            <a:lnTo>
                              <a:pt x="4917" y="0"/>
                            </a:lnTo>
                            <a:lnTo>
                              <a:pt x="4917" y="4926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5080" distB="5080" distL="5080" distR="5080" simplePos="0" locked="0" layoutInCell="0" allowOverlap="1" relativeHeight="5" wp14:anchorId="24F5DC9F">
              <wp:simplePos x="0" y="0"/>
              <wp:positionH relativeFrom="margin">
                <wp:align>center</wp:align>
              </wp:positionH>
              <wp:positionV relativeFrom="paragraph">
                <wp:posOffset>-23589615</wp:posOffset>
              </wp:positionV>
              <wp:extent cx="3923030" cy="1409065"/>
              <wp:effectExtent l="5080" t="5080" r="5080" b="5080"/>
              <wp:wrapNone/>
              <wp:docPr id="2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22920" cy="1409040"/>
                      </a:xfrm>
                      <a:custGeom>
                        <a:avLst/>
                        <a:gdLst>
                          <a:gd name="textAreaLeft" fmla="*/ 0 w 2224080"/>
                          <a:gd name="textAreaRight" fmla="*/ 2225520 w 2224080"/>
                          <a:gd name="textAreaTop" fmla="*/ 0 h 798840"/>
                          <a:gd name="textAreaBottom" fmla="*/ 800280 h 798840"/>
                          <a:gd name="GluePoint1X" fmla="*/ 10898 w 10899"/>
                          <a:gd name="GluePoint1Y" fmla="*/ 0 h 3916"/>
                          <a:gd name="GluePoint2X" fmla="*/ 10898 w 10899"/>
                          <a:gd name="GluePoint2Y" fmla="*/ 3915 h 3916"/>
                          <a:gd name="GluePoint3X" fmla="*/ 0 w 10899"/>
                          <a:gd name="GluePoint3Y" fmla="*/ 3915 h 3916"/>
                          <a:gd name="GluePoint4X" fmla="*/ 0 w 10899"/>
                          <a:gd name="GluePoint4Y" fmla="*/ 0 h 3916"/>
                        </a:gdLst>
                        <a:ahLst/>
                        <a:cxnLst>
                          <a:cxn ang="0">
                            <a:pos x="GluePoint1X" y="GluePoint1Y"/>
                          </a:cxn>
                          <a:cxn ang="0">
                            <a:pos x="GluePoint2X" y="GluePoint2Y"/>
                          </a:cxn>
                          <a:cxn ang="0">
                            <a:pos x="GluePoint3X" y="GluePoint3Y"/>
                          </a:cxn>
                          <a:cxn ang="0">
                            <a:pos x="GluePoint4X" y="GluePoint4Y"/>
                          </a:cxn>
                        </a:cxnLst>
                        <a:rect l="textAreaLeft" t="textAreaTop" r="textAreaRight" b="textAreaBottom"/>
                        <a:pathLst>
                          <a:path w="10899" h="3916">
                            <a:moveTo>
                              <a:pt x="10898" y="0"/>
                            </a:moveTo>
                            <a:lnTo>
                              <a:pt x="10898" y="3915"/>
                            </a:lnTo>
                            <a:lnTo>
                              <a:pt x="0" y="3915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eb3397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eb3397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unhideWhenUsed/>
    <w:qFormat/>
    <w:rsid w:val="00b620db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eb3397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link w:val="14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ea059c"/>
    <w:rPr/>
  </w:style>
  <w:style w:type="character" w:styleId="csc4fa4e65" w:customStyle="1">
    <w:name w:val="csc4fa4e65"/>
    <w:basedOn w:val="DefaultParagraphFont"/>
    <w:qFormat/>
    <w:rsid w:val="009a1aff"/>
    <w:rPr/>
  </w:style>
  <w:style w:type="character" w:styleId="cs23fb0664" w:customStyle="1">
    <w:name w:val="cs23fb0664"/>
    <w:basedOn w:val="DefaultParagraphFont"/>
    <w:qFormat/>
    <w:rsid w:val="009a1aff"/>
    <w:rPr/>
  </w:style>
  <w:style w:type="character" w:styleId="31" w:customStyle="1">
    <w:name w:val="Заголовок 3 Знак"/>
    <w:basedOn w:val="DefaultParagraphFont"/>
    <w:link w:val="312"/>
    <w:qFormat/>
    <w:rsid w:val="00d1533f"/>
    <w:rPr>
      <w:b/>
      <w:i/>
      <w:sz w:val="28"/>
      <w:lang w:eastAsia="ru-RU"/>
    </w:rPr>
  </w:style>
  <w:style w:type="character" w:styleId="311" w:customStyle="1">
    <w:name w:val="Заголовок 3 Знак1"/>
    <w:basedOn w:val="DefaultParagraphFont"/>
    <w:qFormat/>
    <w:rsid w:val="00b620db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8"/>
      <w:lang w:eastAsia="ru-RU"/>
    </w:rPr>
  </w:style>
  <w:style w:type="character" w:styleId="11" w:customStyle="1">
    <w:name w:val="Неразрешенное упоминание1"/>
    <w:basedOn w:val="DefaultParagraphFont"/>
    <w:qFormat/>
    <w:rsid w:val="00eb3397"/>
    <w:rPr>
      <w:color w:val="605E5C"/>
      <w:shd w:fill="E1DFDD" w:val="clear"/>
    </w:rPr>
  </w:style>
  <w:style w:type="character" w:styleId="Strong">
    <w:name w:val="Strong"/>
    <w:basedOn w:val="DefaultParagraphFont"/>
    <w:qFormat/>
    <w:rsid w:val="00eb3397"/>
    <w:rPr>
      <w:b/>
      <w:bCs/>
    </w:rPr>
  </w:style>
  <w:style w:type="character" w:styleId="Style13" w:customStyle="1">
    <w:name w:val="Верхній колонтитул Знак"/>
    <w:basedOn w:val="DefaultParagraphFont"/>
    <w:qFormat/>
    <w:rsid w:val="00eb3397"/>
    <w:rPr>
      <w:sz w:val="28"/>
      <w:lang w:eastAsia="ru-RU"/>
    </w:rPr>
  </w:style>
  <w:style w:type="character" w:styleId="rvts0">
    <w:name w:val="rvts0"/>
    <w:qFormat/>
    <w:rPr>
      <w:rFonts w:cs="Times New Roman"/>
    </w:rPr>
  </w:style>
  <w:style w:type="character" w:styleId="Style14">
    <w:name w:val="Підзаголовок Знак"/>
    <w:basedOn w:val="DefaultParagraphFont"/>
    <w:qFormat/>
    <w:rPr>
      <w:b/>
      <w:sz w:val="28"/>
    </w:rPr>
  </w:style>
  <w:style w:type="paragraph" w:styleId="Style15" w:customStyle="1">
    <w:name w:val="Заголовок"/>
    <w:basedOn w:val="Normal"/>
    <w:next w:val="BodyText"/>
    <w:qFormat/>
    <w:rsid w:val="0079663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635dc6"/>
    <w:pPr/>
    <w:rPr>
      <w:rFonts w:cs="Lucida Sans"/>
    </w:rPr>
  </w:style>
  <w:style w:type="paragraph" w:styleId="Caption">
    <w:name w:val="caption"/>
    <w:basedOn w:val="Normal"/>
    <w:qFormat/>
    <w:rsid w:val="00a37c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Покажчик"/>
    <w:basedOn w:val="Normal"/>
    <w:qFormat/>
    <w:rsid w:val="00796632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635dc6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635dc6"/>
    <w:pPr>
      <w:suppressLineNumbers/>
    </w:pPr>
    <w:rPr>
      <w:rFonts w:cs="Lucida Sans"/>
    </w:rPr>
  </w:style>
  <w:style w:type="paragraph" w:styleId="111" w:customStyle="1">
    <w:name w:val="Заголовок 1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21" w:customStyle="1">
    <w:name w:val="Заголовок 21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312" w:customStyle="1">
    <w:name w:val="Заголовок 31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41" w:customStyle="1">
    <w:name w:val="Заголовок 41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paragraph" w:styleId="12" w:customStyle="1">
    <w:name w:val="Назва об'єкта1"/>
    <w:basedOn w:val="Normal"/>
    <w:qFormat/>
    <w:rsid w:val="00635dc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user2" w:customStyle="1">
    <w:name w:val="Верхній і нижній колонтитули (user)"/>
    <w:basedOn w:val="Normal"/>
    <w:qFormat/>
    <w:rsid w:val="00635dc6"/>
    <w:pPr/>
    <w:rPr/>
  </w:style>
  <w:style w:type="paragraph" w:styleId="Style17" w:customStyle="1">
    <w:name w:val="Верхній і нижній колонтитули"/>
    <w:basedOn w:val="Normal"/>
    <w:qFormat/>
    <w:rsid w:val="00796632"/>
    <w:pPr/>
    <w:rPr/>
  </w:style>
  <w:style w:type="paragraph" w:styleId="13" w:customStyle="1">
    <w:name w:val="Нижній колонтитул1"/>
    <w:basedOn w:val="Normal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8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9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14" w:customStyle="1">
    <w:name w:val="Верхній колонтитул1"/>
    <w:basedOn w:val="Normal"/>
    <w:link w:val="Style12"/>
    <w:uiPriority w:val="99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5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0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1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2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3" w:customStyle="1">
    <w:name w:val="Вид документа"/>
    <w:basedOn w:val="Style22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4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5" w:customStyle="1">
    <w:name w:val="Назва документа"/>
    <w:basedOn w:val="Normal"/>
    <w:next w:val="Style18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1"/>
    <w:qFormat/>
    <w:rsid w:val="00df07ff"/>
    <w:pPr>
      <w:spacing w:before="0" w:after="0"/>
      <w:ind w:left="720"/>
      <w:contextualSpacing/>
    </w:pPr>
    <w:rPr/>
  </w:style>
  <w:style w:type="paragraph" w:styleId="313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66e64e55" w:customStyle="1">
    <w:name w:val="cs66e64e55"/>
    <w:basedOn w:val="Normal"/>
    <w:qFormat/>
    <w:rsid w:val="009a1aff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9a1aff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635dc6"/>
    <w:pPr/>
    <w:rPr/>
  </w:style>
  <w:style w:type="paragraph" w:styleId="Style26" w:customStyle="1">
    <w:name w:val="Вміст рамки"/>
    <w:basedOn w:val="Normal"/>
    <w:qFormat/>
    <w:rsid w:val="00796632"/>
    <w:pPr/>
    <w:rPr/>
  </w:style>
  <w:style w:type="paragraph" w:styleId="Header">
    <w:name w:val="header"/>
    <w:basedOn w:val="user2"/>
    <w:rsid w:val="00a37c80"/>
    <w:pPr/>
    <w:rPr/>
  </w:style>
  <w:style w:type="paragraph" w:styleId="16" w:customStyle="1">
    <w:name w:val="Звичайний1"/>
    <w:qFormat/>
    <w:rsid w:val="00eb3397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Footer">
    <w:name w:val="footer"/>
    <w:basedOn w:val="Normal"/>
    <w:rsid w:val="00eb3397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Style27">
    <w:name w:val="Вміст таблиці"/>
    <w:basedOn w:val="Normal"/>
    <w:qFormat/>
    <w:pPr>
      <w:widowControl w:val="false"/>
      <w:suppressLineNumbers/>
    </w:pPr>
    <w:rPr/>
  </w:style>
  <w:style w:type="paragraph" w:styleId="Style28">
    <w:name w:val="Заголовок таблиці"/>
    <w:basedOn w:val="Style27"/>
    <w:qFormat/>
    <w:pPr>
      <w:jc w:val="center"/>
    </w:pPr>
    <w:rPr>
      <w:b/>
      <w:bCs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pPr>
      <w:spacing w:lineRule="auto" w:line="240"/>
      <w:ind w:hanging="0"/>
      <w:jc w:val="center"/>
    </w:pPr>
    <w:rPr>
      <w:b/>
    </w:rPr>
  </w:style>
  <w:style w:type="numbering" w:styleId="user4" w:customStyle="1">
    <w:name w:val="Без маркерів (user)"/>
    <w:uiPriority w:val="99"/>
    <w:semiHidden/>
    <w:unhideWhenUsed/>
    <w:qFormat/>
    <w:rsid w:val="00a37c80"/>
  </w:style>
  <w:style w:type="numbering" w:styleId="Style29" w:customStyle="1">
    <w:name w:val="Без маркерів"/>
    <w:uiPriority w:val="99"/>
    <w:semiHidden/>
    <w:unhideWhenUsed/>
    <w:qFormat/>
    <w:rsid w:val="00796632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F43BD-8E1D-4BF2-8A4C-21287508E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LibreOffice/26.2.0.3$Windows_X86_64 LibreOffice_project/620$Build-3</Application>
  <AppVersion>15.0000</AppVersion>
  <Pages>4</Pages>
  <Words>750</Words>
  <Characters>5135</Characters>
  <CharactersWithSpaces>5934</CharactersWithSpaces>
  <Paragraphs>71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2026-06-01T07:51:00Z</dcterms:created>
  <dc:creator>1-1</dc:creator>
  <dc:description/>
  <dc:language>uk-UA</dc:language>
  <cp:lastModifiedBy/>
  <cp:lastPrinted>2020-07-03T07:18:00Z</cp:lastPrinted>
  <dcterms:modified xsi:type="dcterms:W3CDTF">2026-09-02T17:25:25Z</dcterms:modified>
  <cp:revision>6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