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start="4819"/>
        <w:jc w:val="start"/>
        <w:rPr>
          <w:bCs/>
        </w:rPr>
      </w:pPr>
      <w:r>
        <w:rPr>
          <w:bCs/>
          <w:szCs w:val="28"/>
        </w:rPr>
      </w:r>
    </w:p>
    <w:p>
      <w:pPr>
        <w:pStyle w:val="cs7c5251be"/>
        <w:spacing w:beforeAutospacing="0" w:before="0" w:afterAutospacing="0" w:after="0"/>
        <w:jc w:val="center"/>
        <w:rPr>
          <w:color w:val="000000"/>
          <w:sz w:val="28"/>
          <w:szCs w:val="28"/>
        </w:rPr>
      </w:pPr>
      <w:r>
        <w:rPr>
          <w:bCs/>
          <w:sz w:val="28"/>
          <w:szCs w:val="28"/>
        </w:rPr>
        <w:t>Умови</w:t>
      </w:r>
    </w:p>
    <w:p>
      <w:pPr>
        <w:pStyle w:val="cs7c5251be"/>
        <w:spacing w:beforeAutospacing="0" w:before="0" w:afterAutospacing="0" w:after="0"/>
        <w:jc w:val="center"/>
        <w:rPr>
          <w:bCs/>
          <w:sz w:val="28"/>
          <w:szCs w:val="28"/>
        </w:rPr>
      </w:pPr>
      <w:r>
        <w:rPr>
          <w:bCs/>
          <w:sz w:val="28"/>
          <w:szCs w:val="28"/>
        </w:rPr>
        <w:t>проведення добору</w:t>
      </w:r>
    </w:p>
    <w:p>
      <w:pPr>
        <w:pStyle w:val="cs7c5251be"/>
        <w:spacing w:beforeAutospacing="0" w:before="0" w:afterAutospacing="0" w:after="0"/>
        <w:jc w:val="center"/>
        <w:rPr>
          <w:color w:val="000000"/>
          <w:sz w:val="28"/>
          <w:szCs w:val="28"/>
        </w:rPr>
      </w:pPr>
      <w:r>
        <w:rPr>
          <w:bCs/>
          <w:sz w:val="28"/>
          <w:szCs w:val="28"/>
        </w:rPr>
        <w:t xml:space="preserve"> </w:t>
      </w:r>
      <w:r>
        <w:rPr>
          <w:bCs/>
          <w:sz w:val="28"/>
          <w:szCs w:val="28"/>
        </w:rPr>
        <w:t xml:space="preserve">на зайняття посади державної служби категорії </w:t>
      </w:r>
      <w:r>
        <w:rPr>
          <w:rStyle w:val="csd2c743de"/>
          <w:color w:val="000000"/>
          <w:sz w:val="28"/>
          <w:szCs w:val="28"/>
        </w:rPr>
        <w:t xml:space="preserve">«В» -  головний спеціаліст відділу  з інформаційної безпеки та кіберзахисту управління інформаційних систем та електронних реєстрів </w:t>
      </w:r>
    </w:p>
    <w:p>
      <w:pPr>
        <w:pStyle w:val="cs7c5251be"/>
        <w:spacing w:beforeAutospacing="0" w:before="0" w:afterAutospacing="0" w:after="0"/>
        <w:jc w:val="center"/>
        <w:rPr>
          <w:rStyle w:val="csd2c743de"/>
          <w:color w:val="000000"/>
          <w:sz w:val="28"/>
          <w:szCs w:val="28"/>
        </w:rPr>
      </w:pPr>
      <w:r>
        <w:rPr>
          <w:rStyle w:val="csd2c743de"/>
          <w:color w:val="000000"/>
          <w:sz w:val="28"/>
          <w:szCs w:val="28"/>
        </w:rPr>
        <w:t>(провулок Арт</w:t>
      </w:r>
      <w:r>
        <w:rPr>
          <w:rStyle w:val="csd2c743de"/>
          <w:color w:val="000000"/>
          <w:sz w:val="28"/>
          <w:szCs w:val="28"/>
          <w:lang w:val="en-US"/>
        </w:rPr>
        <w:t>и</w:t>
      </w:r>
      <w:r>
        <w:rPr>
          <w:rStyle w:val="csd2c743de"/>
          <w:color w:val="000000"/>
          <w:sz w:val="28"/>
          <w:szCs w:val="28"/>
        </w:rPr>
        <w:t>лерійський, 7-9)</w:t>
      </w:r>
    </w:p>
    <w:p>
      <w:pPr>
        <w:pStyle w:val="cs7c5251be"/>
        <w:spacing w:beforeAutospacing="0" w:before="0" w:afterAutospacing="0" w:after="0"/>
        <w:jc w:val="center"/>
        <w:rPr>
          <w:color w:val="000000"/>
          <w:sz w:val="27"/>
          <w:szCs w:val="27"/>
        </w:rPr>
      </w:pPr>
      <w:r>
        <w:rPr>
          <w:color w:val="000000"/>
          <w:sz w:val="27"/>
          <w:szCs w:val="27"/>
        </w:rPr>
      </w:r>
    </w:p>
    <w:p>
      <w:pPr>
        <w:pStyle w:val="cs7c5251be"/>
        <w:spacing w:beforeAutospacing="0" w:before="0" w:afterAutospacing="0" w:after="0"/>
        <w:jc w:val="center"/>
        <w:rPr>
          <w:bCs/>
          <w:szCs w:val="28"/>
        </w:rPr>
      </w:pPr>
      <w:r>
        <w:rPr>
          <w:bCs/>
          <w:szCs w:val="28"/>
        </w:rPr>
      </w:r>
    </w:p>
    <w:tbl>
      <w:tblPr>
        <w:tblW w:w="9782" w:type="dxa"/>
        <w:jc w:val="start"/>
        <w:tblInd w:w="-206" w:type="dxa"/>
        <w:tblLayout w:type="fixed"/>
        <w:tblCellMar>
          <w:top w:w="0" w:type="dxa"/>
          <w:start w:w="108" w:type="dxa"/>
          <w:bottom w:w="0" w:type="dxa"/>
          <w:end w:w="108" w:type="dxa"/>
        </w:tblCellMar>
        <w:tblLook w:firstRow="1" w:noVBand="1" w:lastRow="0" w:firstColumn="1" w:lastColumn="0" w:noHBand="0" w:val="04a0"/>
      </w:tblPr>
      <w:tblGrid>
        <w:gridCol w:w="538"/>
        <w:gridCol w:w="49"/>
        <w:gridCol w:w="2920"/>
        <w:gridCol w:w="22"/>
        <w:gridCol w:w="15"/>
        <w:gridCol w:w="6238"/>
      </w:tblGrid>
      <w:tr>
        <w:trPr/>
        <w:tc>
          <w:tcPr>
            <w:tcW w:w="9782"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ind w:firstLine="181"/>
              <w:jc w:val="center"/>
              <w:rPr>
                <w:b/>
                <w:szCs w:val="28"/>
              </w:rPr>
            </w:pPr>
            <w:r>
              <w:rPr>
                <w:b/>
                <w:szCs w:val="28"/>
              </w:rPr>
              <w:t>Загальні умови</w:t>
            </w:r>
          </w:p>
        </w:tc>
      </w:tr>
      <w:tr>
        <w:trPr/>
        <w:tc>
          <w:tcPr>
            <w:tcW w:w="3507" w:type="dxa"/>
            <w:gridSpan w:val="3"/>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75" w:type="dxa"/>
            <w:gridSpan w:val="3"/>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Проведення моніторингу стану технічного захисту інформації вузлів інформаційно-комунікаційної системи Головного управління та забезпечення контролю за дотриманням вимог щодо захисту інформації працівниками Головного управління.</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Забезпечення функціонування цільового профілю з безпеки на вузлах інформаційно-комунікаційної системи Пенсійного фонду України в Головному управлінні та комплексної системи захисту інформації до завершення строку її дії, аналізу стан та ризиків безпеки інформації, перевірки випадки порушення стану безпеки.</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В межах компетенції здійснення заходів щодо впровадження підсистем інформаційно-комунікаційної системи, реєстрів та баз даних, їх супроводження та адміністрування. Забезпечення дотримання вимог регламентних процедур налаштування, оновлення, архівування, зберігання, профілактики системного, серверного та прикладного програмного забезпечення. Здійснення заходів щодо налаштування та моніторингу стану захисту активного мережевого обладнання.</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Забезпечення функціонування криптографічного захисту інформації та використання кваліфікованого електронного підпису працівниками Головного управління.</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Проведення інформаційно-роз’яснювальної роботи щодо забезпечення ефективного захисту інформаційних технологій та систем, що експлуатуються в головному управлінні.</w:t>
            </w:r>
          </w:p>
          <w:p>
            <w:pPr>
              <w:pStyle w:val="Normal"/>
              <w:widowControl w:val="false"/>
              <w:numPr>
                <w:ilvl w:val="0"/>
                <w:numId w:val="1"/>
              </w:numPr>
              <w:shd w:val="clear" w:color="auto" w:fill="FFFFFF"/>
              <w:tabs>
                <w:tab w:val="clear" w:pos="720"/>
                <w:tab w:val="left" w:pos="481" w:leader="none"/>
                <w:tab w:val="left" w:pos="529" w:leader="none"/>
              </w:tabs>
              <w:spacing w:lineRule="auto" w:line="240"/>
              <w:ind w:hanging="0" w:start="0"/>
              <w:rPr>
                <w:color w:val="000000"/>
                <w:szCs w:val="28"/>
                <w:lang w:eastAsia="uk-UA"/>
              </w:rPr>
            </w:pPr>
            <w:r>
              <w:rPr>
                <w:color w:val="000000"/>
                <w:szCs w:val="28"/>
                <w:lang w:eastAsia="uk-UA"/>
              </w:rPr>
              <w:t>Розробка внутрішніх робочих та розпорядчих документів, згідно з якими забезпечується інформаційна безпека та кіберзахист в Головному управлінні.</w:t>
            </w:r>
          </w:p>
          <w:p>
            <w:pPr>
              <w:pStyle w:val="Normal"/>
              <w:numPr>
                <w:ilvl w:val="0"/>
                <w:numId w:val="1"/>
              </w:numPr>
              <w:tabs>
                <w:tab w:val="clear" w:pos="720"/>
                <w:tab w:val="left" w:pos="-77" w:leader="none"/>
                <w:tab w:val="left" w:pos="481" w:leader="none"/>
                <w:tab w:val="left" w:pos="529" w:leader="none"/>
              </w:tabs>
              <w:spacing w:lineRule="auto" w:line="240"/>
              <w:ind w:hanging="0" w:start="0"/>
              <w:rPr/>
            </w:pPr>
            <w:r>
              <w:rPr>
                <w:color w:val="000000"/>
                <w:szCs w:val="28"/>
                <w:lang w:eastAsia="uk-UA"/>
              </w:rPr>
              <w:t>Виконання узагальнення, аналізу, підготовку інформації та аналітичних матеріалів з питань захисту інформаційної безпеки та кіберзахисту в Головному управлінні Пенсійного фонду України в м. Києві.</w:t>
            </w:r>
          </w:p>
        </w:tc>
      </w:tr>
      <w:tr>
        <w:trPr/>
        <w:tc>
          <w:tcPr>
            <w:tcW w:w="3507" w:type="dxa"/>
            <w:gridSpan w:val="3"/>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7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rPr>
                <w:bCs/>
                <w:szCs w:val="28"/>
              </w:rPr>
            </w:pPr>
            <w:r>
              <w:rPr>
                <w:bCs/>
                <w:szCs w:val="28"/>
              </w:rPr>
              <w:t xml:space="preserve">Посадовий оклад – </w:t>
            </w:r>
            <w:r>
              <w:rPr>
                <w:bCs/>
                <w:color w:val="000000"/>
                <w:szCs w:val="28"/>
              </w:rPr>
              <w:t>20795</w:t>
            </w:r>
            <w:r>
              <w:rPr>
                <w:bCs/>
                <w:szCs w:val="28"/>
              </w:rPr>
              <w:t xml:space="preserve"> грн. </w:t>
            </w:r>
            <w:r>
              <w:rPr>
                <w:rStyle w:val="csd2c743de"/>
                <w:color w:val="000000"/>
                <w:szCs w:val="28"/>
              </w:rPr>
              <w:t>згідно із класифікацією посад</w:t>
            </w:r>
            <w:r>
              <w:rPr>
                <w:bCs/>
                <w:szCs w:val="28"/>
              </w:rPr>
              <w:t>; доплати, компенсації відповідно до статті 52 Закону України «Про державну службу»;надбавка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8"/>
              </w:rPr>
            </w:pPr>
            <w:r>
              <w:rPr>
                <w:bCs/>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0" w:hRule="atLeast"/>
        </w:trPr>
        <w:tc>
          <w:tcPr>
            <w:tcW w:w="3507" w:type="dxa"/>
            <w:gridSpan w:val="3"/>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75" w:type="dxa"/>
            <w:gridSpan w:val="3"/>
            <w:tcBorders>
              <w:top w:val="single" w:sz="4" w:space="0" w:color="000000"/>
              <w:start w:val="single" w:sz="4" w:space="0" w:color="000000"/>
              <w:bottom w:val="single" w:sz="4" w:space="0" w:color="000000"/>
              <w:end w:val="single" w:sz="4" w:space="0" w:color="000000"/>
            </w:tcBorders>
          </w:tcPr>
          <w:p>
            <w:pPr>
              <w:pStyle w:val="Style19"/>
              <w:spacing w:lineRule="auto" w:line="240" w:before="0" w:after="0"/>
              <w:ind w:hanging="0"/>
              <w:jc w:val="start"/>
              <w:rPr>
                <w:bCs/>
                <w:szCs w:val="28"/>
              </w:rPr>
            </w:pPr>
            <w:r>
              <w:rPr>
                <w:rStyle w:val="csd2c743de"/>
                <w:bCs/>
                <w:color w:val="000000"/>
                <w:szCs w:val="28"/>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c>
          <w:tcPr>
            <w:tcW w:w="9782" w:type="dxa"/>
            <w:gridSpan w:val="6"/>
            <w:tcBorders>
              <w:top w:val="single" w:sz="4" w:space="0" w:color="000000"/>
              <w:start w:val="single" w:sz="4" w:space="0" w:color="000000"/>
              <w:bottom w:val="single" w:sz="4" w:space="0" w:color="000000"/>
              <w:end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end="101"/>
              <w:jc w:val="center"/>
              <w:rPr>
                <w:b/>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tc>
      </w:tr>
      <w:tr>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rPr/>
            </w:pPr>
            <w:r>
              <w:rPr>
                <w:rStyle w:val="rvts0"/>
                <w:color w:val="000000"/>
              </w:rPr>
              <w:t>Вища освіта за освітнім ступенем не нижче молодшого бакалавра, бакалавра</w:t>
            </w:r>
            <w:r>
              <w:rPr>
                <w:rStyle w:val="rvts0"/>
                <w:color w:val="000000"/>
                <w:szCs w:val="28"/>
              </w:rPr>
              <w:t xml:space="preserve"> </w:t>
            </w:r>
            <w:r>
              <w:rPr>
                <w:rStyle w:val="rvts0"/>
                <w:color w:val="000000"/>
              </w:rPr>
              <w:t xml:space="preserve"> у галузі знань: </w:t>
            </w:r>
            <w:r>
              <w:rPr>
                <w:rStyle w:val="rvts0"/>
              </w:rPr>
              <w:t xml:space="preserve">у галузі знань: </w:t>
            </w:r>
            <w:r>
              <w:rPr>
                <w:rStyle w:val="rvts0"/>
                <w:szCs w:val="28"/>
              </w:rPr>
              <w:t xml:space="preserve">«Інформаційні технології» (пріоритетна спеціальність  «Кібербезпека та захист інформації»), «Безпека та оборона» (спеціальність «Управління інформаційною безпекою»), «Інженерія, виробництво та будівництво» (спеціальності </w:t>
            </w:r>
            <w:r>
              <w:rPr/>
              <w:t xml:space="preserve">«Електроніка, електронні комунікації, приладобудування та радіотехніка», «Інформаційно-вимірювальні технології», «Автоматизація, комп’ютерноінтегровані технології та робототехніка»), </w:t>
            </w:r>
            <w:r>
              <w:rPr>
                <w:rStyle w:val="rvts0"/>
                <w:szCs w:val="28"/>
              </w:rPr>
              <w:t>«Бізнес, адміністрування і право» (спеціальність «Публічне управління та  адміністрування»).</w:t>
            </w:r>
          </w:p>
        </w:tc>
      </w:tr>
      <w:tr>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28"/>
              <w:rPr>
                <w:bCs/>
                <w:szCs w:val="28"/>
              </w:rPr>
            </w:pPr>
            <w:r>
              <w:rPr>
                <w:szCs w:val="28"/>
                <w:shd w:fill="FFFFFF" w:val="clear"/>
              </w:rPr>
              <w:t>Не потребує</w:t>
            </w:r>
          </w:p>
        </w:tc>
      </w:tr>
      <w:tr>
        <w:trPr>
          <w:trHeight w:val="495" w:hRule="atLeast"/>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8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szCs w:val="28"/>
              </w:rPr>
            </w:pPr>
            <w:r>
              <w:rPr>
                <w:szCs w:val="28"/>
              </w:rPr>
              <w:t>1.</w:t>
            </w:r>
          </w:p>
        </w:tc>
        <w:tc>
          <w:tcPr>
            <w:tcW w:w="2942" w:type="dxa"/>
            <w:gridSpan w:val="2"/>
            <w:tcBorders>
              <w:top w:val="single" w:sz="4" w:space="0" w:color="000000"/>
              <w:start w:val="single" w:sz="4" w:space="0" w:color="000000"/>
              <w:bottom w:val="single" w:sz="4" w:space="0" w:color="000000"/>
              <w:end w:val="single" w:sz="4" w:space="0" w:color="000000"/>
            </w:tcBorders>
          </w:tcPr>
          <w:p>
            <w:pPr>
              <w:pStyle w:val="Normal"/>
              <w:ind w:hanging="0"/>
              <w:jc w:val="start"/>
              <w:rPr>
                <w:szCs w:val="28"/>
              </w:rPr>
            </w:pPr>
            <w:r>
              <w:rPr>
                <w:color w:val="000000"/>
                <w:szCs w:val="28"/>
              </w:rPr>
              <w:t>Якісне виконання поставлених завдань</w:t>
            </w:r>
          </w:p>
        </w:tc>
        <w:tc>
          <w:tcPr>
            <w:tcW w:w="625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540" w:hRule="atLeast"/>
        </w:trPr>
        <w:tc>
          <w:tcPr>
            <w:tcW w:w="58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szCs w:val="28"/>
              </w:rPr>
            </w:pPr>
            <w:r>
              <w:rPr>
                <w:szCs w:val="28"/>
              </w:rPr>
              <w:t>2.</w:t>
            </w:r>
          </w:p>
        </w:tc>
        <w:tc>
          <w:tcPr>
            <w:tcW w:w="2942" w:type="dxa"/>
            <w:gridSpan w:val="2"/>
            <w:tcBorders>
              <w:top w:val="single" w:sz="4" w:space="0" w:color="000000"/>
              <w:start w:val="single" w:sz="4" w:space="0" w:color="000000"/>
              <w:bottom w:val="single" w:sz="4" w:space="0" w:color="000000"/>
              <w:end w:val="single" w:sz="4" w:space="0" w:color="000000"/>
            </w:tcBorders>
          </w:tcPr>
          <w:p>
            <w:pPr>
              <w:pStyle w:val="Normal"/>
              <w:ind w:hanging="0" w:start="32" w:end="106"/>
              <w:rPr>
                <w:color w:val="000000"/>
                <w:szCs w:val="28"/>
              </w:rPr>
            </w:pPr>
            <w:r>
              <w:rPr>
                <w:color w:val="000000"/>
                <w:szCs w:val="28"/>
              </w:rPr>
              <w:t>Відповідальність, командна робота та взаємодія</w:t>
            </w:r>
          </w:p>
        </w:tc>
        <w:tc>
          <w:tcPr>
            <w:tcW w:w="625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2"/>
              </w:numPr>
              <w:tabs>
                <w:tab w:val="clear" w:pos="720"/>
                <w:tab w:val="left" w:pos="190" w:leader="none"/>
              </w:tabs>
              <w:spacing w:lineRule="auto" w:line="240"/>
              <w:ind w:hanging="0" w:start="0"/>
              <w:rPr>
                <w:color w:val="000000"/>
                <w:szCs w:val="28"/>
              </w:rPr>
            </w:pPr>
            <w:r>
              <w:rPr/>
              <w:t xml:space="preserve">вміння працювати в </w:t>
            </w:r>
            <w:r>
              <w:rPr>
                <w:color w:val="000000"/>
                <w:szCs w:val="28"/>
              </w:rPr>
              <w:t>команді та командної взаємодії.</w:t>
            </w:r>
          </w:p>
        </w:tc>
      </w:tr>
      <w:tr>
        <w:trPr>
          <w:trHeight w:val="2203" w:hRule="atLeast"/>
        </w:trPr>
        <w:tc>
          <w:tcPr>
            <w:tcW w:w="58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szCs w:val="28"/>
              </w:rPr>
            </w:pPr>
            <w:r>
              <w:rPr>
                <w:szCs w:val="28"/>
              </w:rPr>
              <w:t>3.</w:t>
            </w:r>
          </w:p>
        </w:tc>
        <w:tc>
          <w:tcPr>
            <w:tcW w:w="2942" w:type="dxa"/>
            <w:gridSpan w:val="2"/>
            <w:tcBorders>
              <w:top w:val="single" w:sz="4" w:space="0" w:color="000000"/>
              <w:start w:val="single" w:sz="4" w:space="0" w:color="000000"/>
              <w:bottom w:val="single" w:sz="4" w:space="0" w:color="000000"/>
              <w:end w:val="single" w:sz="4" w:space="0" w:color="000000"/>
            </w:tcBorders>
          </w:tcPr>
          <w:p>
            <w:pPr>
              <w:pStyle w:val="Normal"/>
              <w:widowControl w:val="false"/>
              <w:spacing w:lineRule="auto" w:line="240"/>
              <w:ind w:hanging="0" w:end="106"/>
              <w:rPr>
                <w:bCs/>
                <w:szCs w:val="28"/>
              </w:rPr>
            </w:pPr>
            <w:r>
              <w:rPr>
                <w:bCs/>
                <w:szCs w:val="28"/>
              </w:rPr>
              <w:t>Аналітичні здібності та обґрунтування власної позиції</w:t>
            </w:r>
          </w:p>
        </w:tc>
        <w:tc>
          <w:tcPr>
            <w:tcW w:w="6253" w:type="dxa"/>
            <w:gridSpan w:val="2"/>
            <w:tcBorders>
              <w:top w:val="single" w:sz="4" w:space="0" w:color="000000"/>
              <w:start w:val="single" w:sz="4" w:space="0" w:color="000000"/>
              <w:bottom w:val="single" w:sz="4" w:space="0" w:color="000000"/>
              <w:end w:val="single" w:sz="4" w:space="0" w:color="000000"/>
            </w:tcBorders>
          </w:tcPr>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3"/>
              </w:numPr>
              <w:tabs>
                <w:tab w:val="clear" w:pos="720"/>
                <w:tab w:val="left" w:pos="190" w:leader="none"/>
              </w:tabs>
              <w:spacing w:lineRule="auto" w:line="240"/>
              <w:ind w:hanging="0" w:start="0"/>
              <w:rPr>
                <w:color w:val="000000"/>
                <w:szCs w:val="28"/>
              </w:rPr>
            </w:pPr>
            <w:r>
              <w:rPr>
                <w:color w:val="000000"/>
                <w:szCs w:val="28"/>
              </w:rPr>
              <w:t>вміння встановлювати причинно-наслідкові зв’язки;</w:t>
            </w:r>
          </w:p>
          <w:p>
            <w:pPr>
              <w:pStyle w:val="Normal"/>
              <w:widowControl w:val="false"/>
              <w:numPr>
                <w:ilvl w:val="0"/>
                <w:numId w:val="2"/>
              </w:numPr>
              <w:tabs>
                <w:tab w:val="clear" w:pos="720"/>
                <w:tab w:val="left" w:pos="190" w:leader="none"/>
              </w:tabs>
              <w:spacing w:lineRule="auto" w:line="240"/>
              <w:ind w:hanging="0" w:star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start w:val="single" w:sz="4" w:space="0" w:color="000000"/>
              <w:bottom w:val="single" w:sz="4" w:space="0" w:color="000000"/>
              <w:end w:val="single" w:sz="4" w:space="0" w:color="000000"/>
            </w:tcBorders>
          </w:tcPr>
          <w:p>
            <w:pPr>
              <w:pStyle w:val="Default"/>
              <w:jc w:val="center"/>
              <w:rPr>
                <w:b/>
                <w:bCs/>
                <w:color w:val="auto"/>
                <w:sz w:val="28"/>
                <w:szCs w:val="28"/>
                <w:lang w:eastAsia="ru-RU"/>
              </w:rPr>
            </w:pPr>
            <w:r>
              <w:rPr>
                <w:b/>
                <w:bCs/>
                <w:color w:val="auto"/>
                <w:sz w:val="28"/>
                <w:szCs w:val="28"/>
                <w:lang w:eastAsia="ru-RU"/>
              </w:rPr>
              <w:t>Вимога</w:t>
            </w:r>
          </w:p>
        </w:tc>
        <w:tc>
          <w:tcPr>
            <w:tcW w:w="6238" w:type="dxa"/>
            <w:tcBorders>
              <w:top w:val="single" w:sz="4" w:space="0" w:color="000000"/>
              <w:start w:val="single" w:sz="4" w:space="0" w:color="000000"/>
              <w:bottom w:val="single" w:sz="4" w:space="0" w:color="000000"/>
              <w:end w:val="single" w:sz="4" w:space="0" w:color="000000"/>
            </w:tcBorders>
          </w:tcPr>
          <w:p>
            <w:pPr>
              <w:pStyle w:val="Normal"/>
              <w:spacing w:lineRule="auto" w:line="240"/>
              <w:rPr>
                <w:b/>
                <w:szCs w:val="28"/>
              </w:rPr>
            </w:pPr>
            <w:r>
              <w:rPr>
                <w:b/>
                <w:szCs w:val="28"/>
              </w:rPr>
              <w:t>Компоненти вимоги</w:t>
            </w:r>
          </w:p>
        </w:tc>
      </w:tr>
      <w:tr>
        <w:trPr>
          <w:trHeight w:val="398" w:hRule="atLeast"/>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szCs w:val="28"/>
              </w:rPr>
            </w:pPr>
            <w:r>
              <w:rPr>
                <w:szCs w:val="28"/>
              </w:rPr>
              <w:t>Знання:</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Конституції України;</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запобігання корупції»;</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державну службу»;</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доступ до публічної інформації»</w:t>
            </w:r>
          </w:p>
          <w:p>
            <w:pPr>
              <w:pStyle w:val="Normal"/>
              <w:widowControl w:val="false"/>
              <w:numPr>
                <w:ilvl w:val="0"/>
                <w:numId w:val="2"/>
              </w:numPr>
              <w:tabs>
                <w:tab w:val="clear" w:pos="720"/>
                <w:tab w:val="left" w:pos="190" w:leader="none"/>
              </w:tabs>
              <w:spacing w:lineRule="auto" w:line="240"/>
              <w:ind w:hanging="0" w:start="0"/>
              <w:rPr>
                <w:szCs w:val="28"/>
              </w:rPr>
            </w:pPr>
            <w:r>
              <w:rPr>
                <w:color w:val="000000"/>
                <w:szCs w:val="28"/>
              </w:rPr>
              <w:t>Закону України «Про захист персональних даних».</w:t>
            </w:r>
          </w:p>
        </w:tc>
      </w:tr>
      <w:tr>
        <w:trPr>
          <w:trHeight w:val="1496" w:hRule="atLeast"/>
        </w:trPr>
        <w:tc>
          <w:tcPr>
            <w:tcW w:w="538" w:type="dxa"/>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start w:val="single" w:sz="4" w:space="0" w:color="000000"/>
              <w:bottom w:val="single" w:sz="4" w:space="0" w:color="000000"/>
              <w:end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start w:val="single" w:sz="4" w:space="0" w:color="000000"/>
              <w:bottom w:val="single" w:sz="4" w:space="0" w:color="000000"/>
              <w:end w:val="single" w:sz="4" w:space="0" w:color="000000"/>
            </w:tcBorders>
          </w:tcPr>
          <w:p>
            <w:pPr>
              <w:pStyle w:val="Normal"/>
              <w:ind w:hanging="0"/>
              <w:jc w:val="center"/>
              <w:rPr>
                <w:szCs w:val="28"/>
              </w:rPr>
            </w:pPr>
            <w:r>
              <w:rPr>
                <w:szCs w:val="28"/>
              </w:rPr>
              <w:t>Знання:</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інформацію»;</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Закону України «Про захист інформації в інформаційно-телекомунікаційних системах»;</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000000"/>
                <w:szCs w:val="28"/>
              </w:rPr>
              <w:t xml:space="preserve">Закону України </w:t>
            </w:r>
            <w:hyperlink r:id="rId2">
              <w:r>
                <w:rPr>
                  <w:rStyle w:val="Style5"/>
                  <w:color w:val="000000"/>
                  <w:szCs w:val="28"/>
                </w:rPr>
                <w:t>«Про захист інформації в автоматизованих системах</w:t>
              </w:r>
            </w:hyperlink>
            <w:r>
              <w:rPr>
                <w:color w:val="000000"/>
                <w:szCs w:val="28"/>
              </w:rPr>
              <w:t>»;</w:t>
            </w:r>
          </w:p>
          <w:p>
            <w:pPr>
              <w:pStyle w:val="Normal"/>
              <w:widowControl w:val="false"/>
              <w:numPr>
                <w:ilvl w:val="0"/>
                <w:numId w:val="2"/>
              </w:numPr>
              <w:tabs>
                <w:tab w:val="clear" w:pos="720"/>
                <w:tab w:val="left" w:pos="190" w:leader="none"/>
              </w:tabs>
              <w:spacing w:lineRule="auto" w:line="240"/>
              <w:ind w:hanging="0" w:start="0"/>
              <w:rPr>
                <w:color w:val="000000"/>
                <w:szCs w:val="28"/>
              </w:rPr>
            </w:pPr>
            <w:r>
              <w:rPr>
                <w:color w:val="333333"/>
                <w:shd w:fill="FFFFFF" w:val="clear"/>
              </w:rPr>
              <w:t>Закону України «Про загальнообов’язкове державне пенсійне страхування»;</w:t>
            </w:r>
          </w:p>
          <w:p>
            <w:pPr>
              <w:pStyle w:val="Normal"/>
              <w:widowControl w:val="false"/>
              <w:numPr>
                <w:ilvl w:val="0"/>
                <w:numId w:val="2"/>
              </w:numPr>
              <w:tabs>
                <w:tab w:val="clear" w:pos="720"/>
                <w:tab w:val="left" w:pos="190" w:leader="none"/>
              </w:tabs>
              <w:spacing w:lineRule="auto" w:line="240"/>
              <w:ind w:hanging="0" w:start="0"/>
              <w:rPr>
                <w:color w:val="000000"/>
                <w:szCs w:val="28"/>
              </w:rPr>
            </w:pPr>
            <w:r>
              <w:rPr>
                <w:szCs w:val="28"/>
              </w:rPr>
              <w:t>інших нормативно-правових актів України, що стосуються захисту інформації та Державного реєстру загальнообов’язкового державного соціального страхування (захист інформації).</w:t>
            </w:r>
          </w:p>
        </w:tc>
      </w:tr>
    </w:tbl>
    <w:p>
      <w:pPr>
        <w:pStyle w:val="Style19"/>
        <w:jc w:val="center"/>
        <w:rPr/>
      </w:pPr>
      <w:bookmarkStart w:id="0" w:name="_Hlk218505826"/>
      <w:r>
        <w:rPr>
          <w:bCs/>
          <w:szCs w:val="28"/>
        </w:rPr>
        <w:t>______________________</w:t>
      </w:r>
      <w:bookmarkEnd w:id="0"/>
    </w:p>
    <w:p>
      <w:pPr>
        <w:pStyle w:val="Style19"/>
        <w:ind w:hanging="0"/>
        <w:rPr>
          <w:bCs/>
          <w:szCs w:val="28"/>
        </w:rPr>
      </w:pPr>
      <w:r>
        <w:rPr>
          <w:bCs/>
          <w:szCs w:val="28"/>
        </w:rPr>
      </w:r>
    </w:p>
    <w:sectPr>
      <w:headerReference w:type="even" r:id="rId3"/>
      <w:headerReference w:type="default" r:id="rId4"/>
      <w:headerReference w:type="first" r:id="rId5"/>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Segoe UI">
    <w:charset w:val="cc" w:characterSet="windows-1251"/>
    <w:family w:val="swiss"/>
    <w:pitch w:val="variable"/>
  </w:font>
  <w:font w:name="Liberation Sans">
    <w:altName w:val="Arial"/>
    <w:charset w:val="cc" w:characterSet="windows-1251"/>
    <w:family w:val="swiss"/>
    <w:pitch w:val="variable"/>
  </w:font>
  <w:font w:name="Courier New">
    <w:charset w:val="cc" w:characterSet="windows-1251"/>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5715" distL="0" distR="5715" simplePos="0" locked="0" layoutInCell="0" allowOverlap="1" relativeHeight="2" wp14:anchorId="23FB5A18">
              <wp:simplePos x="0" y="0"/>
              <wp:positionH relativeFrom="margin">
                <wp:align>center</wp:align>
              </wp:positionH>
              <wp:positionV relativeFrom="paragraph">
                <wp:posOffset>635</wp:posOffset>
              </wp:positionV>
              <wp:extent cx="14605" cy="14605"/>
              <wp:effectExtent l="0" t="1270" r="0" b="0"/>
              <wp:wrapSquare wrapText="bothSides"/>
              <wp:docPr id="1" name="Прямокутник 1"/>
              <a:graphic xmlns:a="http://schemas.openxmlformats.org/drawingml/2006/main">
                <a:graphicData uri="http://schemas.microsoft.com/office/word/2010/wordprocessingShape">
                  <wps:wsp>
                    <wps:cNvSpPr/>
                    <wps:spPr>
                      <a:xfrm>
                        <a:off x="0" y="0"/>
                        <a:ext cx="14760" cy="14760"/>
                      </a:xfrm>
                      <a:prstGeom prst="rect">
                        <a:avLst/>
                      </a:prstGeom>
                      <a:noFill/>
                      <a:ln w="0">
                        <a:solidFill>
                          <a:srgbClr val="000000"/>
                        </a:solidFill>
                      </a:ln>
                    </wps:spPr>
                    <wps:style>
                      <a:lnRef idx="0"/>
                      <a:fillRef idx="0"/>
                      <a:effectRef idx="0"/>
                      <a:fontRef idx="minor"/>
                    </wps:style>
                    <wps:txbx>
                      <w:txbxContent>
                        <w:p>
                          <w:pPr>
                            <w:pStyle w:val="user3"/>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tIns="0" rIns="0" bIns="0" anchor="t">
                      <a:noAutofit/>
                    </wps:bodyPr>
                  </wps:wsp>
                </a:graphicData>
              </a:graphic>
            </wp:anchor>
          </w:drawing>
        </mc:Choice>
        <mc:Fallback>
          <w:pict>
            <v:rect id="shape_0" stroked="t" o:allowincell="f" style="position:absolute;margin-left:0pt;margin-top:0.05pt;width:1.1pt;height:1.1pt;mso-wrap-style:square;v-text-anchor:top;mso-position-horizontal:center;mso-position-horizontal-relative:margin" wp14:anchorId="23FB5A18">
              <v:fill o:detectmouseclick="t" on="false"/>
              <v:stroke color="black" joinstyle="round" endcap="flat"/>
              <v:textbox>
                <w:txbxContent>
                  <w:p>
                    <w:pPr>
                      <w:pStyle w:val="user3"/>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2">
    <w:lvl w:ilvl="0">
      <w:start w:val="1"/>
      <w:numFmt w:val="bullet"/>
      <w:lvlText w:val="-"/>
      <w:lvlJc w:val="start"/>
      <w:pPr>
        <w:tabs>
          <w:tab w:val="num" w:pos="0"/>
        </w:tabs>
        <w:ind w:start="2061" w:hanging="360"/>
      </w:pPr>
      <w:rPr>
        <w:rFonts w:ascii="OpenSymbol" w:hAnsi="OpenSymbol" w:cs="OpenSymbol" w:hint="default"/>
      </w:rPr>
    </w:lvl>
    <w:lvl w:ilvl="1">
      <w:start w:val="1"/>
      <w:numFmt w:val="bullet"/>
      <w:lvlText w:val="o"/>
      <w:lvlJc w:val="start"/>
      <w:pPr>
        <w:tabs>
          <w:tab w:val="num" w:pos="0"/>
        </w:tabs>
        <w:ind w:start="2781" w:hanging="360"/>
      </w:pPr>
      <w:rPr>
        <w:rFonts w:ascii="Courier New" w:hAnsi="Courier New" w:cs="Courier New" w:hint="default"/>
      </w:rPr>
    </w:lvl>
    <w:lvl w:ilvl="2">
      <w:start w:val="1"/>
      <w:numFmt w:val="bullet"/>
      <w:lvlText w:val="▪"/>
      <w:lvlJc w:val="start"/>
      <w:pPr>
        <w:tabs>
          <w:tab w:val="num" w:pos="0"/>
        </w:tabs>
        <w:ind w:start="3501" w:hanging="360"/>
      </w:pPr>
      <w:rPr>
        <w:rFonts w:ascii="Noto Sans Symbols" w:hAnsi="Noto Sans Symbols" w:cs="Noto Sans Symbols" w:hint="default"/>
      </w:rPr>
    </w:lvl>
    <w:lvl w:ilvl="3">
      <w:start w:val="1"/>
      <w:numFmt w:val="bullet"/>
      <w:lvlText w:val="●"/>
      <w:lvlJc w:val="start"/>
      <w:pPr>
        <w:tabs>
          <w:tab w:val="num" w:pos="0"/>
        </w:tabs>
        <w:ind w:start="4221" w:hanging="360"/>
      </w:pPr>
      <w:rPr>
        <w:rFonts w:ascii="Noto Sans Symbols" w:hAnsi="Noto Sans Symbols" w:cs="Noto Sans Symbols" w:hint="default"/>
      </w:rPr>
    </w:lvl>
    <w:lvl w:ilvl="4">
      <w:start w:val="1"/>
      <w:numFmt w:val="bullet"/>
      <w:lvlText w:val="o"/>
      <w:lvlJc w:val="start"/>
      <w:pPr>
        <w:tabs>
          <w:tab w:val="num" w:pos="0"/>
        </w:tabs>
        <w:ind w:start="4941" w:hanging="360"/>
      </w:pPr>
      <w:rPr>
        <w:rFonts w:ascii="Courier New" w:hAnsi="Courier New" w:cs="Courier New" w:hint="default"/>
      </w:rPr>
    </w:lvl>
    <w:lvl w:ilvl="5">
      <w:start w:val="1"/>
      <w:numFmt w:val="bullet"/>
      <w:lvlText w:val="▪"/>
      <w:lvlJc w:val="start"/>
      <w:pPr>
        <w:tabs>
          <w:tab w:val="num" w:pos="0"/>
        </w:tabs>
        <w:ind w:start="5661" w:hanging="360"/>
      </w:pPr>
      <w:rPr>
        <w:rFonts w:ascii="Noto Sans Symbols" w:hAnsi="Noto Sans Symbols" w:cs="Noto Sans Symbols" w:hint="default"/>
      </w:rPr>
    </w:lvl>
    <w:lvl w:ilvl="6">
      <w:start w:val="1"/>
      <w:numFmt w:val="bullet"/>
      <w:lvlText w:val="●"/>
      <w:lvlJc w:val="start"/>
      <w:pPr>
        <w:tabs>
          <w:tab w:val="num" w:pos="0"/>
        </w:tabs>
        <w:ind w:start="6381" w:hanging="360"/>
      </w:pPr>
      <w:rPr>
        <w:rFonts w:ascii="Noto Sans Symbols" w:hAnsi="Noto Sans Symbols" w:cs="Noto Sans Symbols" w:hint="default"/>
      </w:rPr>
    </w:lvl>
    <w:lvl w:ilvl="7">
      <w:start w:val="1"/>
      <w:numFmt w:val="bullet"/>
      <w:lvlText w:val="o"/>
      <w:lvlJc w:val="start"/>
      <w:pPr>
        <w:tabs>
          <w:tab w:val="num" w:pos="0"/>
        </w:tabs>
        <w:ind w:start="7101" w:hanging="360"/>
      </w:pPr>
      <w:rPr>
        <w:rFonts w:ascii="Courier New" w:hAnsi="Courier New" w:cs="Courier New" w:hint="default"/>
      </w:rPr>
    </w:lvl>
    <w:lvl w:ilvl="8">
      <w:start w:val="1"/>
      <w:numFmt w:val="bullet"/>
      <w:lvlText w:val="▪"/>
      <w:lvlJc w:val="start"/>
      <w:pPr>
        <w:tabs>
          <w:tab w:val="num" w:pos="0"/>
        </w:tabs>
        <w:ind w:start="7821" w:hanging="360"/>
      </w:pPr>
      <w:rPr>
        <w:rFonts w:ascii="Noto Sans Symbols" w:hAnsi="Noto Sans Symbols" w:cs="Noto Sans Symbols" w:hint="default"/>
      </w:rPr>
    </w:lvl>
  </w:abstractNum>
  <w:abstractNum w:abstractNumId="3">
    <w:lvl w:ilvl="0">
      <w:start w:val="1"/>
      <w:numFmt w:val="bullet"/>
      <w:lvlText w:val="-"/>
      <w:lvlJc w:val="start"/>
      <w:pPr>
        <w:tabs>
          <w:tab w:val="num" w:pos="0"/>
        </w:tabs>
        <w:ind w:start="2061" w:hanging="360"/>
      </w:pPr>
      <w:rPr>
        <w:rFonts w:ascii="OpenSymbol" w:hAnsi="OpenSymbol" w:cs="OpenSymbol" w:hint="default"/>
      </w:rPr>
    </w:lvl>
    <w:lvl w:ilvl="1">
      <w:start w:val="1"/>
      <w:numFmt w:val="bullet"/>
      <w:lvlText w:val="o"/>
      <w:lvlJc w:val="start"/>
      <w:pPr>
        <w:tabs>
          <w:tab w:val="num" w:pos="0"/>
        </w:tabs>
        <w:ind w:start="2781" w:hanging="360"/>
      </w:pPr>
      <w:rPr>
        <w:rFonts w:ascii="Courier New" w:hAnsi="Courier New" w:cs="Courier New" w:hint="default"/>
      </w:rPr>
    </w:lvl>
    <w:lvl w:ilvl="2">
      <w:start w:val="1"/>
      <w:numFmt w:val="bullet"/>
      <w:lvlText w:val="▪"/>
      <w:lvlJc w:val="start"/>
      <w:pPr>
        <w:tabs>
          <w:tab w:val="num" w:pos="0"/>
        </w:tabs>
        <w:ind w:start="3501" w:hanging="360"/>
      </w:pPr>
      <w:rPr>
        <w:rFonts w:ascii="Noto Sans Symbols" w:hAnsi="Noto Sans Symbols" w:cs="Noto Sans Symbols" w:hint="default"/>
      </w:rPr>
    </w:lvl>
    <w:lvl w:ilvl="3">
      <w:start w:val="1"/>
      <w:numFmt w:val="bullet"/>
      <w:lvlText w:val="●"/>
      <w:lvlJc w:val="start"/>
      <w:pPr>
        <w:tabs>
          <w:tab w:val="num" w:pos="0"/>
        </w:tabs>
        <w:ind w:start="4221" w:hanging="360"/>
      </w:pPr>
      <w:rPr>
        <w:rFonts w:ascii="Noto Sans Symbols" w:hAnsi="Noto Sans Symbols" w:cs="Noto Sans Symbols" w:hint="default"/>
      </w:rPr>
    </w:lvl>
    <w:lvl w:ilvl="4">
      <w:start w:val="1"/>
      <w:numFmt w:val="bullet"/>
      <w:lvlText w:val="o"/>
      <w:lvlJc w:val="start"/>
      <w:pPr>
        <w:tabs>
          <w:tab w:val="num" w:pos="0"/>
        </w:tabs>
        <w:ind w:start="4941" w:hanging="360"/>
      </w:pPr>
      <w:rPr>
        <w:rFonts w:ascii="Courier New" w:hAnsi="Courier New" w:cs="Courier New" w:hint="default"/>
      </w:rPr>
    </w:lvl>
    <w:lvl w:ilvl="5">
      <w:start w:val="1"/>
      <w:numFmt w:val="bullet"/>
      <w:lvlText w:val="▪"/>
      <w:lvlJc w:val="start"/>
      <w:pPr>
        <w:tabs>
          <w:tab w:val="num" w:pos="0"/>
        </w:tabs>
        <w:ind w:start="5661" w:hanging="360"/>
      </w:pPr>
      <w:rPr>
        <w:rFonts w:ascii="Noto Sans Symbols" w:hAnsi="Noto Sans Symbols" w:cs="Noto Sans Symbols" w:hint="default"/>
      </w:rPr>
    </w:lvl>
    <w:lvl w:ilvl="6">
      <w:start w:val="1"/>
      <w:numFmt w:val="bullet"/>
      <w:lvlText w:val="●"/>
      <w:lvlJc w:val="start"/>
      <w:pPr>
        <w:tabs>
          <w:tab w:val="num" w:pos="0"/>
        </w:tabs>
        <w:ind w:start="6381" w:hanging="360"/>
      </w:pPr>
      <w:rPr>
        <w:rFonts w:ascii="Noto Sans Symbols" w:hAnsi="Noto Sans Symbols" w:cs="Noto Sans Symbols" w:hint="default"/>
      </w:rPr>
    </w:lvl>
    <w:lvl w:ilvl="7">
      <w:start w:val="1"/>
      <w:numFmt w:val="bullet"/>
      <w:lvlText w:val="o"/>
      <w:lvlJc w:val="start"/>
      <w:pPr>
        <w:tabs>
          <w:tab w:val="num" w:pos="0"/>
        </w:tabs>
        <w:ind w:start="7101" w:hanging="360"/>
      </w:pPr>
      <w:rPr>
        <w:rFonts w:ascii="Courier New" w:hAnsi="Courier New" w:cs="Courier New" w:hint="default"/>
      </w:rPr>
    </w:lvl>
    <w:lvl w:ilvl="8">
      <w:start w:val="1"/>
      <w:numFmt w:val="bullet"/>
      <w:lvlText w:val="▪"/>
      <w:lvlJc w:val="start"/>
      <w:pPr>
        <w:tabs>
          <w:tab w:val="num" w:pos="0"/>
        </w:tabs>
        <w:ind w:start="7821" w:hanging="360"/>
      </w:pPr>
      <w:rPr>
        <w:rFonts w:ascii="Noto Sans Symbols" w:hAnsi="Noto Sans Symbols" w:cs="Noto Sans Symbol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start="567"/>
      <w:outlineLvl w:val="0"/>
    </w:pPr>
    <w:rPr>
      <w:b/>
      <w:smallCaps/>
    </w:rPr>
  </w:style>
  <w:style w:type="paragraph" w:styleId="Heading2">
    <w:name w:val="heading 2"/>
    <w:basedOn w:val="Normal"/>
    <w:next w:val="Normal"/>
    <w:qFormat/>
    <w:rsid w:val="00a0742f"/>
    <w:pPr>
      <w:keepNext w:val="true"/>
      <w:spacing w:before="120" w:after="0"/>
      <w:ind w:start="567"/>
      <w:outlineLvl w:val="1"/>
    </w:pPr>
    <w:rPr>
      <w:b/>
    </w:rPr>
  </w:style>
  <w:style w:type="paragraph" w:styleId="Heading3">
    <w:name w:val="heading 3"/>
    <w:basedOn w:val="Normal"/>
    <w:next w:val="Normal"/>
    <w:link w:val="31"/>
    <w:qFormat/>
    <w:rsid w:val="00a0742f"/>
    <w:pPr>
      <w:keepNext w:val="true"/>
      <w:spacing w:before="120" w:after="0"/>
      <w:ind w:start="567"/>
      <w:outlineLvl w:val="2"/>
    </w:pPr>
    <w:rPr>
      <w:b/>
      <w:i/>
    </w:rPr>
  </w:style>
  <w:style w:type="paragraph" w:styleId="Heading4">
    <w:name w:val="heading 4"/>
    <w:basedOn w:val="Normal"/>
    <w:next w:val="Normal"/>
    <w:qFormat/>
    <w:rsid w:val="00a0742f"/>
    <w:pPr>
      <w:keepNext w:val="true"/>
      <w:spacing w:before="120" w:after="0"/>
      <w:ind w:star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Pr>
      <w:sz w:val="24"/>
      <w:lang w:val="ru-RU" w:eastAsia="zh-CN"/>
    </w:rPr>
  </w:style>
  <w:style w:type="character" w:styleId="31" w:customStyle="1">
    <w:name w:val="Заголовок 3 Знак"/>
    <w:basedOn w:val="DefaultParagraphFont"/>
    <w:qFormat/>
    <w:rsid w:val="00151944"/>
    <w:rPr>
      <w:b/>
      <w:i/>
      <w:sz w:val="28"/>
      <w:lang w:eastAsia="ru-RU"/>
    </w:rPr>
  </w:style>
  <w:style w:type="character" w:styleId="Style15">
    <w:name w:val="Підзаголовок Знак"/>
    <w:basedOn w:val="DefaultParagraphFont"/>
    <w:qFormat/>
    <w:rPr>
      <w:b/>
      <w:sz w:val="28"/>
    </w:rPr>
  </w:style>
  <w:style w:type="paragraph" w:styleId="Style16" w:customStyle="1">
    <w:name w:val="Заголовок"/>
    <w:basedOn w:val="Normal"/>
    <w:next w:val="BodyText"/>
    <w:qFormat/>
    <w:rsid w:val="001419e7"/>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17" w:customStyle="1">
    <w:name w:val="Покажчик"/>
    <w:basedOn w:val="Normal"/>
    <w:qFormat/>
    <w:rsid w:val="001419e7"/>
    <w:pPr>
      <w:suppressLineNumbers/>
    </w:pPr>
    <w:rPr>
      <w:rFonts w:cs="Lucida Sans"/>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pPr>
      <w:suppressLineNumbers/>
    </w:pPr>
    <w:rPr>
      <w:rFonts w:cs="Lucida Sans"/>
    </w:rPr>
  </w:style>
  <w:style w:type="paragraph" w:styleId="user2" w:customStyle="1">
    <w:name w:val="Верхній і нижній колонтитули (user)"/>
    <w:basedOn w:val="Normal"/>
    <w:qFormat/>
    <w:rsid w:val="001419e7"/>
    <w:pPr/>
    <w:rPr/>
  </w:style>
  <w:style w:type="paragraph" w:styleId="Style18" w:customStyle="1">
    <w:name w:val="Верхній і нижній колонтитули"/>
    <w:basedOn w:val="Normal"/>
    <w:qFormat/>
    <w:pPr/>
    <w:rPr/>
  </w:style>
  <w:style w:type="paragraph" w:styleId="Footer">
    <w:name w:val="footer"/>
    <w:basedOn w:val="Normal"/>
    <w:rsid w:val="00a0742f"/>
    <w:pPr>
      <w:tabs>
        <w:tab w:val="clear" w:pos="720"/>
        <w:tab w:val="center" w:pos="4153" w:leader="none"/>
        <w:tab w:val="right" w:pos="8306" w:leader="none"/>
      </w:tabs>
    </w:pPr>
    <w:rPr/>
  </w:style>
  <w:style w:type="paragraph" w:styleId="Style19" w:customStyle="1">
    <w:name w:val="Нормальний текст"/>
    <w:basedOn w:val="Normal"/>
    <w:qFormat/>
    <w:rsid w:val="00a0742f"/>
    <w:pPr>
      <w:spacing w:before="120" w:after="0"/>
      <w:ind w:firstLine="567"/>
    </w:pPr>
    <w:rPr/>
  </w:style>
  <w:style w:type="paragraph" w:styleId="Style20" w:customStyle="1">
    <w:name w:val="Шапка документу"/>
    <w:basedOn w:val="Normal"/>
    <w:qFormat/>
    <w:rsid w:val="00a0742f"/>
    <w:pPr>
      <w:keepNext w:val="true"/>
      <w:keepLines/>
      <w:spacing w:before="0" w:after="240"/>
      <w:ind w:star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1"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1" w:customStyle="1">
    <w:name w:val="Глава документу"/>
    <w:basedOn w:val="Normal"/>
    <w:next w:val="Normal"/>
    <w:qFormat/>
    <w:rsid w:val="00a0742f"/>
    <w:pPr>
      <w:keepNext w:val="true"/>
      <w:keepLines/>
      <w:spacing w:before="120" w:after="120"/>
      <w:jc w:val="center"/>
    </w:pPr>
    <w:rPr/>
  </w:style>
  <w:style w:type="paragraph" w:styleId="Style22" w:customStyle="1">
    <w:name w:val="Герб"/>
    <w:basedOn w:val="Normal"/>
    <w:qFormat/>
    <w:rsid w:val="00a0742f"/>
    <w:pPr>
      <w:keepNext w:val="true"/>
      <w:keepLines/>
      <w:jc w:val="center"/>
    </w:pPr>
    <w:rPr>
      <w:sz w:val="144"/>
      <w:lang w:val="en-US"/>
    </w:rPr>
  </w:style>
  <w:style w:type="paragraph" w:styleId="Style23" w:customStyle="1">
    <w:name w:val="Установа"/>
    <w:basedOn w:val="Normal"/>
    <w:qFormat/>
    <w:rsid w:val="00a0742f"/>
    <w:pPr>
      <w:keepNext w:val="true"/>
      <w:keepLines/>
      <w:spacing w:before="120" w:after="0"/>
      <w:jc w:val="center"/>
    </w:pPr>
    <w:rPr>
      <w:b/>
      <w:sz w:val="40"/>
    </w:rPr>
  </w:style>
  <w:style w:type="paragraph" w:styleId="Style24" w:customStyle="1">
    <w:name w:val="Вид документа"/>
    <w:basedOn w:val="Style23"/>
    <w:next w:val="Normal"/>
    <w:qFormat/>
    <w:rsid w:val="00a0742f"/>
    <w:pPr>
      <w:spacing w:before="360" w:after="240"/>
    </w:pPr>
    <w:rPr>
      <w:spacing w:val="20"/>
      <w:sz w:val="26"/>
    </w:rPr>
  </w:style>
  <w:style w:type="paragraph" w:styleId="Style25" w:customStyle="1">
    <w:name w:val="Час та місце"/>
    <w:basedOn w:val="Normal"/>
    <w:qFormat/>
    <w:rsid w:val="00a0742f"/>
    <w:pPr>
      <w:keepNext w:val="true"/>
      <w:keepLines/>
      <w:spacing w:before="120" w:after="240"/>
      <w:jc w:val="center"/>
    </w:pPr>
    <w:rPr/>
  </w:style>
  <w:style w:type="paragraph" w:styleId="Style26" w:customStyle="1">
    <w:name w:val="Назва документа"/>
    <w:basedOn w:val="Normal"/>
    <w:next w:val="Style19"/>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start="3969"/>
      <w:jc w:val="center"/>
    </w:pPr>
    <w:rPr/>
  </w:style>
  <w:style w:type="paragraph" w:styleId="Default" w:customStyle="1">
    <w:name w:val="Default"/>
    <w:qFormat/>
    <w:rsid w:val="00131b14"/>
    <w:pPr>
      <w:widowControl/>
      <w:suppressAutoHyphens w:val="true"/>
      <w:bidi w:val="0"/>
      <w:spacing w:before="0" w:after="0"/>
      <w:jc w:val="star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start"/>
    </w:pPr>
    <w:rPr>
      <w:sz w:val="24"/>
      <w:szCs w:val="24"/>
    </w:rPr>
  </w:style>
  <w:style w:type="paragraph" w:styleId="NormalWeb">
    <w:name w:val="Normal (Web)"/>
    <w:basedOn w:val="Normal"/>
    <w:qFormat/>
    <w:rsid w:val="00d44706"/>
    <w:pPr>
      <w:spacing w:lineRule="auto" w:line="240" w:beforeAutospacing="1" w:afterAutospacing="1"/>
      <w:ind w:hanging="0"/>
      <w:jc w:val="star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start="283"/>
      <w:jc w:val="star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start"/>
    </w:pPr>
    <w:rPr>
      <w:sz w:val="24"/>
      <w:szCs w:val="24"/>
      <w:lang w:val="ru-RU"/>
    </w:rPr>
  </w:style>
  <w:style w:type="paragraph" w:styleId="ListParagraph">
    <w:name w:val="List Paragraph"/>
    <w:basedOn w:val="Normal"/>
    <w:uiPriority w:val="34"/>
    <w:qFormat/>
    <w:rsid w:val="00df07ff"/>
    <w:pPr>
      <w:spacing w:before="0" w:after="0"/>
      <w:ind w:star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star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start"/>
    </w:pPr>
    <w:rPr>
      <w:sz w:val="24"/>
      <w:szCs w:val="24"/>
      <w:lang w:eastAsia="uk-UA"/>
    </w:rPr>
  </w:style>
  <w:style w:type="paragraph" w:styleId="Style27" w:customStyle="1">
    <w:name w:val="Вміст рамки"/>
    <w:basedOn w:val="Normal"/>
    <w:qFormat/>
    <w:rsid w:val="001419e7"/>
    <w:pPr/>
    <w:rPr/>
  </w:style>
  <w:style w:type="paragraph" w:styleId="csd270a1e4" w:customStyle="1">
    <w:name w:val="csd270a1e4"/>
    <w:basedOn w:val="Normal"/>
    <w:qFormat/>
    <w:rsid w:val="001419e7"/>
    <w:pPr>
      <w:spacing w:lineRule="auto" w:line="240" w:before="280" w:after="280"/>
      <w:ind w:hanging="0"/>
      <w:jc w:val="start"/>
    </w:pPr>
    <w:rPr>
      <w:sz w:val="24"/>
      <w:szCs w:val="24"/>
      <w:lang w:eastAsia="uk-UA"/>
    </w:rPr>
  </w:style>
  <w:style w:type="paragraph" w:styleId="csd270a203" w:customStyle="1">
    <w:name w:val="csd270a203"/>
    <w:basedOn w:val="Normal"/>
    <w:qFormat/>
    <w:rsid w:val="001419e7"/>
    <w:pPr>
      <w:spacing w:lineRule="auto" w:line="240" w:before="280" w:after="280"/>
      <w:ind w:hanging="0"/>
      <w:jc w:val="start"/>
    </w:pPr>
    <w:rPr>
      <w:sz w:val="24"/>
      <w:szCs w:val="24"/>
      <w:lang w:eastAsia="uk-UA"/>
    </w:rPr>
  </w:style>
  <w:style w:type="paragraph" w:styleId="cs66e64e55" w:customStyle="1">
    <w:name w:val="cs66e64e55"/>
    <w:basedOn w:val="Normal"/>
    <w:qFormat/>
    <w:rsid w:val="001419e7"/>
    <w:pPr>
      <w:spacing w:lineRule="auto" w:line="240" w:before="280" w:after="280"/>
      <w:ind w:hanging="0"/>
      <w:jc w:val="start"/>
    </w:pPr>
    <w:rPr>
      <w:sz w:val="24"/>
      <w:szCs w:val="24"/>
      <w:lang w:val="ru-RU"/>
    </w:rPr>
  </w:style>
  <w:style w:type="paragraph" w:styleId="cse2a94784" w:customStyle="1">
    <w:name w:val="cse2a94784"/>
    <w:basedOn w:val="Normal"/>
    <w:qFormat/>
    <w:rsid w:val="001419e7"/>
    <w:pPr>
      <w:spacing w:lineRule="auto" w:line="240" w:before="280" w:after="280"/>
      <w:ind w:hanging="0"/>
      <w:jc w:val="start"/>
    </w:pPr>
    <w:rPr>
      <w:sz w:val="24"/>
      <w:szCs w:val="24"/>
      <w:lang w:val="ru-RU"/>
    </w:rPr>
  </w:style>
  <w:style w:type="paragraph" w:styleId="csfb0aa375" w:customStyle="1">
    <w:name w:val="csfb0aa375"/>
    <w:basedOn w:val="Normal"/>
    <w:qFormat/>
    <w:rsid w:val="001419e7"/>
    <w:pPr>
      <w:spacing w:lineRule="auto" w:line="240" w:before="280" w:after="280"/>
      <w:ind w:hanging="0"/>
      <w:jc w:val="star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user3" w:customStyle="1">
    <w:name w:val="Вміст рамки (user)"/>
    <w:basedOn w:val="Normal"/>
    <w:qFormat/>
    <w:pPr/>
    <w:rPr/>
  </w:style>
  <w:style w:type="paragraph" w:styleId="Style28">
    <w:name w:val="Вміст таблиці"/>
    <w:basedOn w:val="Normal"/>
    <w:qFormat/>
    <w:pPr>
      <w:widowControl w:val="false"/>
      <w:suppressLineNumbers/>
    </w:pPr>
    <w:rPr/>
  </w:style>
  <w:style w:type="paragraph" w:styleId="Style29">
    <w:name w:val="Заголовок таблиці"/>
    <w:basedOn w:val="Style28"/>
    <w:qFormat/>
    <w:pPr>
      <w:jc w:val="center"/>
    </w:pPr>
    <w:rPr>
      <w:b/>
      <w:bCs/>
    </w:rPr>
  </w:style>
  <w:style w:type="numbering" w:styleId="Style30" w:customStyle="1">
    <w:name w:val="Без маркерів"/>
    <w:uiPriority w:val="99"/>
    <w:semiHidden/>
    <w:unhideWhenUsed/>
    <w:qFormat/>
    <w:rsid w:val="001419e7"/>
  </w:style>
  <w:style w:type="numbering" w:styleId="user4" w:customStyle="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nau://ukr/80/94-&#1042;&#1056;/"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485DB-CA68-45E3-A39F-E54BAF03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LibreOffice/26.2.0.3$Windows_X86_64 LibreOffice_project/620$Build-3</Application>
  <AppVersion>15.0000</AppVersion>
  <Pages>4</Pages>
  <Words>668</Words>
  <Characters>4941</Characters>
  <CharactersWithSpaces>5520</CharactersWithSpaces>
  <Paragraphs>72</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2026-08-05T11:51:00Z</dcterms:created>
  <dc:creator>1-1</dc:creator>
  <dc:description/>
  <dc:language>uk-UA</dc:language>
  <cp:lastModifiedBy/>
  <cp:lastPrinted>2020-07-03T07:18:00Z</cp:lastPrinted>
  <dcterms:modified xsi:type="dcterms:W3CDTF">2026-09-02T17:25:03Z</dcterms:modified>
  <cp:revision>10</cp:revision>
  <dc:subject/>
  <dc:title>£</dc:title>
</cp:coreProperties>
</file>

<file path=docProps/custom.xml><?xml version="1.0" encoding="utf-8"?>
<Properties xmlns="http://schemas.openxmlformats.org/officeDocument/2006/custom-properties" xmlns:vt="http://schemas.openxmlformats.org/officeDocument/2006/docPropsVTypes"/>
</file>