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color w:val="000000"/>
          <w:sz w:val="28"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</w:t>
      </w:r>
      <w:r>
        <w:rPr>
          <w:rStyle w:val="csd2c743de"/>
          <w:bCs/>
          <w:color w:val="000000"/>
          <w:szCs w:val="28"/>
          <w:lang w:val="ru-RU"/>
        </w:rPr>
        <w:t xml:space="preserve">посади державної служби категорії  «В» -  головного спеціаліста відділу адміністрування інформаційних систем управління інформаційних систем та електронних реєстрів </w:t>
      </w:r>
    </w:p>
    <w:p>
      <w:pPr>
        <w:pStyle w:val="Normal"/>
        <w:ind w:hanging="0"/>
        <w:jc w:val="center"/>
        <w:rPr/>
      </w:pPr>
      <w:r>
        <w:rPr>
          <w:rStyle w:val="csd2c743de"/>
          <w:bCs/>
          <w:color w:val="000000"/>
          <w:szCs w:val="28"/>
          <w:lang w:val="ru-RU"/>
        </w:rPr>
        <w:t>(вул. Бульварно-Кудрявська,16)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7"/>
        <w:gridCol w:w="2920"/>
        <w:gridCol w:w="24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роботи локальної мережі, комунікаційного обладнання, парку комп’ютерної та організаційної техніки Головного управління Фонду, адміністрування ресурсів ІКС ПФУ, мережевих сервісів, серверів, баз даних, сервісів Інтернет-вузла, автоматизованих систем, антивірусного та мережевого захисту інформації та засобів безпеки. Забезпечення роботи засобів електронного зв’язку, інших ресурсів електронних засобів комунікації, що функціонують в органах Фонду.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технічної підтримки, супроводу та поточної експлуатації програмного забезпечення, що використовується в органах Фонду (підсистем ІКІС ПФУ).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Облік засобів електронно-обчислювальної техніки шляхом ведення паспортів–формулярів, периферійних пристроїв, програмного забезпечення, що перебувають на балансі Головного управління.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заходів щодо забезпечення цілісності, збереження та ефективного використання інформації, баз даних та підсистем ІКС ПФУ, що функціонують в органах Фонду. Забезпечення: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ідентифікованого доступу користувачів за персональним логіном і паролем до електронних реєстрів, баз даних, підсистем ІКС ПФУ та інших мережевих ресурсів, ведення відповідного обліку таких прав доступу;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технічного супроводження процесів ІКС ПФУ в Головному управлінні та безперебійної роботи вузла ІКС ПФУ в Головному управлінні.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Забезпечення проведення налагоджувальних та профілактичних робіт комп’ютерної та периферійної техніки; участь в організації ремонтних робіт наявної організаційної та комп’ютерної техніки, заправці та відновленні картриджів пристроїв друку в Головному управлінні.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Проведення інформаційно-роз’яснювальної роботи з питань функціонування інформаційно-аналітичних  систем, надання адміністративних послуг в Головному управлінні Пенсійного фонду України в м. Києві.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Забезпечення виконання завдань та функцій покладених на відділ адміністрування інформаційних систем.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szCs w:val="28"/>
              </w:rPr>
              <w:t>Здійснення узагальнення, аналізу та підготовки інформаційних та аналітичних матеріалів з питань відділу адміністрування інформаційних систем  Головного управління Пенсійного фонду України в м. Києві, надання інформації заступнику начальника управління інформаційних систем та електронних реєстрів - начальника відділу адміністрування інформаційних систем /заступнику начальника відділу адміністрування інформаційних систем.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8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Дотримання законодавства про інформацію, доступу до публічної інформації, захисту персональних даних.</w:t>
            </w:r>
          </w:p>
        </w:tc>
      </w:tr>
      <w:tr>
        <w:trPr/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>
          <w:trHeight w:val="131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/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" w:leader="none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89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" w:leader="none"/>
              </w:tabs>
              <w:spacing w:lineRule="auto" w:line="240"/>
              <w:ind w:hanging="0" w:left="1" w:right="272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" w:leader="none"/>
              </w:tabs>
              <w:spacing w:lineRule="auto" w:line="240"/>
              <w:ind w:hanging="0" w:left="1" w:right="272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Закон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  <w:tab w:val="left" w:pos="406" w:leader="none"/>
              </w:tabs>
              <w:spacing w:lineRule="auto" w:line="240"/>
              <w:ind w:firstLine="1" w:left="0" w:right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Закон України </w:t>
            </w:r>
            <w:hyperlink r:id="rId2">
              <w:r>
                <w:rPr>
                  <w:rStyle w:val="Style5"/>
                  <w:bCs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bCs/>
                <w:szCs w:val="28"/>
              </w:rPr>
              <w:t>».</w:t>
            </w:r>
          </w:p>
        </w:tc>
      </w:tr>
    </w:tbl>
    <w:p>
      <w:pPr>
        <w:pStyle w:val="Style18"/>
        <w:jc w:val="center"/>
        <w:rPr>
          <w:bCs/>
          <w:szCs w:val="28"/>
        </w:rPr>
      </w:pPr>
      <w:r>
        <w:rPr/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568" w:bottom="12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5715" distL="0" distR="5715" simplePos="0" locked="0" layoutInCell="0" allowOverlap="1" relativeHeight="2" wp14:anchorId="521512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5215123D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2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9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6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3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8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5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962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spacing w:before="240" w:after="0"/>
      <w:ind w:firstLine="709"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spacing w:before="120" w:after="0"/>
      <w:ind w:firstLine="709"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cc6375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pacing w:before="120" w:after="0"/>
      <w:ind w:firstLine="709"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31" w:customStyle="1">
    <w:name w:val="Заголовок 3 Знак"/>
    <w:basedOn w:val="DefaultParagraphFont"/>
    <w:qFormat/>
    <w:rsid w:val="00cc6375"/>
    <w:rPr>
      <w:b/>
      <w:i/>
      <w:sz w:val="28"/>
      <w:lang w:eastAsia="ru-RU"/>
    </w:rPr>
  </w:style>
  <w:style w:type="character" w:styleId="rvts0" w:customStyle="1">
    <w:name w:val="rvts0"/>
    <w:qFormat/>
    <w:rsid w:val="0016528e"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character" w:styleId="Style14">
    <w:name w:val="Верхній колонтитул Знак"/>
    <w:basedOn w:val="DefaultParagraphFont"/>
    <w:qFormat/>
    <w:rPr>
      <w:sz w:val="28"/>
      <w:lang w:eastAsia="ru-RU"/>
    </w:rPr>
  </w:style>
  <w:style w:type="paragraph" w:styleId="Style15" w:customStyle="1">
    <w:name w:val="Заголовок"/>
    <w:basedOn w:val="Normal"/>
    <w:next w:val="BodyText"/>
    <w:qFormat/>
    <w:rsid w:val="005b6d7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5b6d75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5b6d75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1" w:customStyle="1">
    <w:name w:val="Заголовок 31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5b6d7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5b6d75"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2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7826d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5b6d75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Header">
    <w:name w:val="header"/>
    <w:basedOn w:val="user2"/>
    <w:pPr/>
    <w:rPr/>
  </w:style>
  <w:style w:type="paragraph" w:styleId="Style27" w:customStyle="1">
    <w:name w:val="Верхній колонтитул ліворуч"/>
    <w:basedOn w:val="14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4" w:customStyle="1">
    <w:name w:val="Вміст таблиці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і (user)"/>
    <w:basedOn w:val="user4"/>
    <w:qFormat/>
    <w:pPr>
      <w:jc w:val="center"/>
    </w:pPr>
    <w:rPr>
      <w:b/>
      <w:bCs/>
    </w:rPr>
  </w:style>
  <w:style w:type="paragraph" w:styleId="Footer">
    <w:name w:val="footer"/>
    <w:basedOn w:val="user2"/>
    <w:pPr/>
    <w:rPr/>
  </w:style>
  <w:style w:type="paragraph" w:styleId="Style28">
    <w:name w:val="Вміст таблиці"/>
    <w:basedOn w:val="Normal"/>
    <w:qFormat/>
    <w:pPr>
      <w:widowControl w:val="false"/>
      <w:suppressLineNumbers/>
    </w:pPr>
    <w:rPr/>
  </w:style>
  <w:style w:type="paragraph" w:styleId="Style29">
    <w:name w:val="Заголовок таблиці"/>
    <w:basedOn w:val="Style28"/>
    <w:qFormat/>
    <w:pPr>
      <w:jc w:val="center"/>
    </w:pPr>
    <w:rPr>
      <w:b/>
      <w:bCs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6" w:customStyle="1">
    <w:name w:val="Без маркерів (user)"/>
    <w:uiPriority w:val="99"/>
    <w:semiHidden/>
    <w:unhideWhenUsed/>
    <w:qFormat/>
  </w:style>
  <w:style w:type="numbering" w:styleId="Style30">
    <w:name w:val="Без маркерів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50D2-9129-4EA9-98FF-5DB4D15A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710</Words>
  <Characters>5099</Characters>
  <CharactersWithSpaces>5718</CharactersWithSpaces>
  <Paragraphs>74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2026-08-05T11:52:00Z</dcterms:created>
  <dc:creator>1-1</dc:creator>
  <dc:description/>
  <dc:language>uk-UA</dc:language>
  <cp:lastModifiedBy/>
  <cp:lastPrinted>2020-07-03T07:18:00Z</cp:lastPrinted>
  <dcterms:modified xsi:type="dcterms:W3CDTF">2026-09-02T17:24:50Z</dcterms:modified>
  <cp:revision>12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