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 w:val="false"/>
          <w:bCs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 w:val="false"/>
          <w:bCs/>
          <w:i w:val="false"/>
          <w:szCs w:val="28"/>
        </w:rPr>
        <w:t xml:space="preserve">проведення </w:t>
      </w:r>
      <w:r>
        <w:rPr>
          <w:bCs/>
          <w:szCs w:val="28"/>
        </w:rPr>
        <w:t>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заступник</w:t>
      </w:r>
      <w:r>
        <w:rPr>
          <w:rFonts w:eastAsia="Arial Unicode MS"/>
        </w:rPr>
        <w:t xml:space="preserve"> начальника відділу технічної підтримки зовнішніх користувачів електронних сервісів </w:t>
      </w:r>
      <w:r>
        <w:rPr>
          <w:color w:val="000000"/>
          <w:szCs w:val="28"/>
        </w:rPr>
        <w:t>управління інформаційних систем та електронних реєстрів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rFonts w:eastAsia="Calibri" w:eastAsiaTheme="minorHAnsi"/>
          <w:szCs w:val="28"/>
          <w:lang w:eastAsia="uk-UA"/>
        </w:rPr>
        <w:t xml:space="preserve"> </w:t>
      </w:r>
      <w:r>
        <w:rPr/>
        <w:t>(</w:t>
      </w:r>
      <w:r>
        <w:rPr>
          <w:color w:val="000000"/>
          <w:szCs w:val="28"/>
        </w:rPr>
        <w:t>провулок Артилерійський, 7/9</w:t>
      </w:r>
      <w:r>
        <w:rPr/>
        <w:t>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978"/>
        <w:gridCol w:w="32"/>
        <w:gridCol w:w="5925"/>
      </w:tblGrid>
      <w:tr>
        <w:trPr/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надання технічної та інформаційної підтримки зовнішнім користувачам прикладних масових електронних сервісів вебпорталу електронних послуг Пенсійного фонду України, супроводження процесів реєстрації та/або приєднання до електронних сервісів.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щодо реєстрації користувачів електронних сервісів вебпорталу електронних послуг Пенсійного фонду України та їх технічної підтримки. Забезпечення адміністрування організацій, як зовнішніх користувачів прикладних масових електронних сервісів.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підготовки інформаційних матеріалів для проведення онлайн семінарів та нарад з організаціями, установами щодо роботи з сервісами вебпорталу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у межах своєї компетенції  розгляду запитів, звернень, заяв та скарг юридичних та фізичних осіб, виявлення та усунення причин, що призводять до подання громадянами скарг.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Дотримання законодавства в питаннях формування, накопичення та обробки конфіденційної інформації; про інформацію, захист персональних даних, державної таємниці, інформації з обмеженим доступом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0" w:after="120"/>
              <w:ind w:hanging="0" w:left="0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обов’язків начальника відділу у разі його відсутності; виконувати інші завдання та доручення начальника управління та начальника відділу.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19859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101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25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 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25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lef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25" w:type="dxa"/>
            <w:tcBorders/>
          </w:tcPr>
          <w:p>
            <w:pPr>
              <w:pStyle w:val="ListParagraph"/>
              <w:widowControl w:val="false"/>
              <w:tabs>
                <w:tab w:val="clear" w:pos="57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jc w:val="center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25" w:type="dxa"/>
            <w:tcBorders/>
          </w:tcPr>
          <w:p>
            <w:pPr>
              <w:pStyle w:val="ListParagraph"/>
              <w:widowControl w:val="false"/>
              <w:tabs>
                <w:tab w:val="clear" w:pos="57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jc w:val="center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 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20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5715" distL="0" distR="5715" simplePos="0" locked="0" layoutInCell="0" allowOverlap="1" relativeHeight="2" wp14:anchorId="05D7E01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5D7E01E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e65695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e4761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ae4761"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e4761"/>
    <w:pPr/>
    <w:rPr/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numbering" w:styleId="user4" w:customStyle="1">
    <w:name w:val="Без маркерів (user)"/>
    <w:uiPriority w:val="99"/>
    <w:semiHidden/>
    <w:unhideWhenUsed/>
    <w:qFormat/>
    <w:rsid w:val="00ae4761"/>
  </w:style>
  <w:style w:type="numbering" w:styleId="Style29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4</Pages>
  <Words>642</Words>
  <Characters>4497</Characters>
  <CharactersWithSpaces>5039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2026-08-05T11:16:00Z</dcterms:created>
  <dc:creator>1-1</dc:creator>
  <dc:description/>
  <dc:language>uk-UA</dc:language>
  <cp:lastModifiedBy/>
  <cp:lastPrinted>2022-10-26T09:52:00Z</cp:lastPrinted>
  <dcterms:modified xsi:type="dcterms:W3CDTF">2026-09-02T17:16:54Z</dcterms:modified>
  <cp:revision>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