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 w:val="28"/>
          <w:szCs w:val="28"/>
        </w:rPr>
      </w:r>
    </w:p>
    <w:p>
      <w:pPr>
        <w:pStyle w:val="Normal"/>
        <w:spacing w:lineRule="auto" w:line="240"/>
        <w:ind w:hanging="0" w:left="0"/>
        <w:jc w:val="center"/>
        <w:rPr>
          <w:bCs/>
          <w:sz w:val="28"/>
          <w:szCs w:val="28"/>
        </w:rPr>
      </w:pPr>
      <w:r>
        <w:rPr>
          <w:bCs/>
          <w:sz w:val="28"/>
          <w:szCs w:val="28"/>
        </w:rPr>
        <w:t>Умови</w:t>
      </w:r>
    </w:p>
    <w:p>
      <w:pPr>
        <w:pStyle w:val="Normal"/>
        <w:spacing w:lineRule="auto" w:line="240"/>
        <w:ind w:hanging="0" w:left="0"/>
        <w:jc w:val="center"/>
        <w:rPr>
          <w:bCs/>
          <w:sz w:val="28"/>
          <w:szCs w:val="28"/>
        </w:rPr>
      </w:pPr>
      <w:r>
        <w:rPr>
          <w:bCs/>
          <w:sz w:val="28"/>
          <w:szCs w:val="28"/>
        </w:rPr>
        <w:t>проведення добору</w:t>
      </w:r>
    </w:p>
    <w:p>
      <w:pPr>
        <w:pStyle w:val="cs7c5251be"/>
        <w:spacing w:lineRule="auto" w:line="240" w:beforeAutospacing="0" w:before="0" w:afterAutospacing="0" w:after="0"/>
        <w:jc w:val="center"/>
        <w:rPr/>
      </w:pPr>
      <w:r>
        <w:rPr>
          <w:bCs/>
          <w:sz w:val="28"/>
          <w:szCs w:val="28"/>
        </w:rPr>
        <w:t xml:space="preserve">на зайняття посади державної служби категорії </w:t>
      </w:r>
      <w:r>
        <w:rPr>
          <w:rStyle w:val="csd2c743de"/>
          <w:color w:val="000000"/>
          <w:sz w:val="28"/>
          <w:szCs w:val="28"/>
        </w:rPr>
        <w:t xml:space="preserve">«В» - </w:t>
      </w:r>
      <w:r>
        <w:rPr>
          <w:rStyle w:val="csd2c743de"/>
          <w:bCs/>
          <w:color w:val="000000"/>
          <w:sz w:val="28"/>
          <w:szCs w:val="28"/>
        </w:rPr>
        <w:t xml:space="preserve">головний спеціаліст відділу </w:t>
      </w:r>
      <w:r>
        <w:rPr>
          <w:rStyle w:val="csd2c743de"/>
          <w:color w:val="000000"/>
          <w:sz w:val="28"/>
          <w:szCs w:val="28"/>
        </w:rPr>
        <w:t xml:space="preserve">кадрового адміністрування та організаційного розвитку управління по роботі з персоналом </w:t>
      </w:r>
    </w:p>
    <w:p>
      <w:pPr>
        <w:pStyle w:val="cs7c5251be"/>
        <w:spacing w:lineRule="auto" w:line="240" w:beforeAutospacing="0" w:before="0" w:afterAutospacing="0" w:after="0"/>
        <w:jc w:val="center"/>
        <w:rPr/>
      </w:pPr>
      <w:r>
        <w:rPr>
          <w:rStyle w:val="csd2c743de"/>
          <w:color w:val="000000"/>
          <w:sz w:val="28"/>
          <w:szCs w:val="28"/>
        </w:rPr>
        <w:t>(вул. Бульварно-Кудрявська, 16)</w:t>
      </w:r>
    </w:p>
    <w:p>
      <w:pPr>
        <w:pStyle w:val="cs7c5251be"/>
        <w:spacing w:lineRule="auto" w:line="240" w:beforeAutospacing="0" w:before="0" w:afterAutospacing="0" w:after="0"/>
        <w:jc w:val="center"/>
        <w:rPr>
          <w:rStyle w:val="csd2c743de"/>
          <w:color w:val="000000"/>
          <w:sz w:val="28"/>
          <w:szCs w:val="28"/>
        </w:rPr>
      </w:pPr>
      <w:r>
        <w:rPr>
          <w:color w:val="000000"/>
          <w:sz w:val="28"/>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46"/>
        <w:gridCol w:w="15"/>
        <w:gridCol w:w="131"/>
        <w:gridCol w:w="6107"/>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sz w:val="28"/>
                <w:szCs w:val="28"/>
              </w:rPr>
            </w:pPr>
            <w:r>
              <w:rPr>
                <w:b/>
                <w:bCs/>
                <w:sz w:val="28"/>
                <w:szCs w:val="28"/>
              </w:rPr>
              <w:t>Загальні умови</w:t>
            </w:r>
          </w:p>
        </w:tc>
      </w:tr>
      <w:tr>
        <w:trPr>
          <w:trHeight w:val="1027" w:hRule="atLeast"/>
        </w:trPr>
        <w:tc>
          <w:tcPr>
            <w:tcW w:w="3675" w:type="dxa"/>
            <w:gridSpan w:val="5"/>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Посадові обов’язки</w:t>
            </w:r>
          </w:p>
        </w:tc>
        <w:tc>
          <w:tcPr>
            <w:tcW w:w="6107" w:type="dxa"/>
            <w:tcBorders>
              <w:top w:val="single" w:sz="4" w:space="0" w:color="000000"/>
              <w:left w:val="single" w:sz="4" w:space="0" w:color="000000"/>
              <w:bottom w:val="single" w:sz="4" w:space="0" w:color="000000"/>
              <w:right w:val="single" w:sz="4" w:space="0" w:color="000000"/>
            </w:tcBorders>
          </w:tcPr>
          <w:p>
            <w:pPr>
              <w:pStyle w:val="ListParagraph"/>
              <w:numPr>
                <w:ilvl w:val="0"/>
                <w:numId w:val="2"/>
              </w:numPr>
              <w:tabs>
                <w:tab w:val="clear" w:pos="720"/>
                <w:tab w:val="left" w:pos="349" w:leader="none"/>
              </w:tabs>
              <w:spacing w:lineRule="auto" w:line="240"/>
              <w:ind w:hanging="0" w:left="34"/>
              <w:jc w:val="both"/>
              <w:rPr>
                <w:sz w:val="28"/>
                <w:szCs w:val="28"/>
              </w:rPr>
            </w:pPr>
            <w:bookmarkStart w:id="0" w:name="n85"/>
            <w:bookmarkStart w:id="1" w:name="n186"/>
            <w:bookmarkStart w:id="2" w:name="n92"/>
            <w:bookmarkEnd w:id="0"/>
            <w:bookmarkEnd w:id="1"/>
            <w:bookmarkEnd w:id="2"/>
            <w:r>
              <w:rPr>
                <w:rFonts w:eastAsia="Calibri"/>
                <w:color w:val="000000"/>
                <w:sz w:val="28"/>
                <w:szCs w:val="28"/>
                <w:lang w:eastAsia="en-US"/>
              </w:rPr>
              <w:t>1.  Оформлення документів та підготовка проектів наказів про призначення, переведення, звільнення працівників, виконання обов’язків тимчасово відсутнього працівника або за вакантною посадою;</w:t>
            </w:r>
            <w:r>
              <w:rPr>
                <w:sz w:val="28"/>
                <w:szCs w:val="28"/>
              </w:rPr>
              <w:t xml:space="preserve"> про прийняття Присяги державного службовця та присвоєння рангів державним службовцям, про встановлення надбавки за вислугу років, притягнення до дисциплінарної відповідальності працівників Головного управління Пенсійного фонду України в м. Києві (далі – Головне управління Фонду); здійснення обчислення стажу роботи та державної служби при прийнятті на роботу, видача у встановленому порядку звільненій особі копії акта про звільнення, належно оформленої трудової книжки.</w:t>
            </w:r>
          </w:p>
          <w:p>
            <w:pPr>
              <w:pStyle w:val="ListParagraph"/>
              <w:numPr>
                <w:ilvl w:val="0"/>
                <w:numId w:val="2"/>
              </w:numPr>
              <w:tabs>
                <w:tab w:val="clear" w:pos="720"/>
                <w:tab w:val="left" w:pos="349" w:leader="none"/>
              </w:tabs>
              <w:spacing w:lineRule="auto" w:line="240"/>
              <w:ind w:hanging="0" w:left="34"/>
              <w:jc w:val="both"/>
              <w:rPr>
                <w:sz w:val="28"/>
                <w:szCs w:val="28"/>
              </w:rPr>
            </w:pPr>
            <w:r>
              <w:rPr>
                <w:rFonts w:eastAsia="Calibri"/>
                <w:color w:val="000000"/>
                <w:sz w:val="28"/>
                <w:szCs w:val="28"/>
                <w:lang w:eastAsia="en-US"/>
              </w:rPr>
              <w:t>2.    Забезпечення підготовки проектів наказів про надання відпусток працівникам Головного управління контролю їх подання та обліку; формування графіку відпусток працівників Головного управління Фонду та подання його на затвердження щороку в грудні місяці; опрацювання листків тимчасової непрацездатності, їх облік; здійснення перевірки табелю обліку робочого часу працівників структурних підрозділів Головного управління Фонду.</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3. Проведення перевірки достовірності відомостей щодо застосування заборон, передбачених частинами третьою і четвертою ст.1 Закону України «Про очищення влади»; спеціальної перевірки відомостей стосовно осіб, що претендують на зайняття в Головному управлінні Фонду посад, які передбачають зайняття відповідального або особливо відповідального становища та підготовка довідки за результатами перевірок.</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4. Забезпечення ведення діловодства в електронній формі в підсистемі «Документообіг» інтегрованої комплексної системи Пенсійного фонду України, ведення та наповнення програмного забезпечення «Облікова картка працівників», здійснення роботи пов’язаної із заповненням, обліком, зберіганням та архівуванням особових справ працівників, засвідчення копій документів.</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5. Ознайомлення державних службовців Головного управління Фонду з наказами, Правилами внутрішнього службового розпорядку, інших працівників – з правилами внутрішнього трудового розпорядку, посадовими інструкціями та іншими документами з проставленням ними підписів та дати ознайомлення.</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6.  Оформлення документів про відрядження працівників Головного управління Фонду, посвідчення та довідок з місця роботи.</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В межах своєї компетенції розглядати листи, звернення скарги, інші документи, що надходять до управління та готувати проекти відповідей на них.</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7. Ведення книги обліку призначених працівників, обліку звільнених працівників, особових справ, книги обліку стажу державної служби, книги обліку присвоєння чергових рангів державним службовцям, штатно-посадової книги та інших журналів відповідно до номенклатури справ.</w:t>
            </w:r>
          </w:p>
          <w:p>
            <w:pPr>
              <w:pStyle w:val="ListParagraph"/>
              <w:numPr>
                <w:ilvl w:val="0"/>
                <w:numId w:val="2"/>
              </w:numPr>
              <w:tabs>
                <w:tab w:val="clear" w:pos="720"/>
                <w:tab w:val="left" w:pos="349" w:leader="none"/>
              </w:tabs>
              <w:spacing w:lineRule="auto" w:line="240"/>
              <w:ind w:hanging="0" w:left="34"/>
              <w:jc w:val="both"/>
              <w:rPr>
                <w:sz w:val="28"/>
                <w:szCs w:val="28"/>
              </w:rPr>
            </w:pPr>
            <w:r>
              <w:rPr>
                <w:sz w:val="28"/>
                <w:szCs w:val="28"/>
              </w:rPr>
              <w:t>8. Підготовка звітності з кадрових питань, надання консультативної допомоги працівникам Головного управління Фонду з питань управління персоналом.</w:t>
            </w:r>
          </w:p>
        </w:tc>
      </w:tr>
      <w:tr>
        <w:trPr/>
        <w:tc>
          <w:tcPr>
            <w:tcW w:w="3675" w:type="dxa"/>
            <w:gridSpan w:val="5"/>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Умови оплати праці</w:t>
            </w:r>
          </w:p>
        </w:tc>
        <w:tc>
          <w:tcPr>
            <w:tcW w:w="6107"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ind w:hanging="0"/>
              <w:jc w:val="both"/>
              <w:rPr/>
            </w:pPr>
            <w:r>
              <w:rPr>
                <w:rFonts w:eastAsia="Times New Roman" w:cs="Times New Roman"/>
                <w:kern w:val="0"/>
                <w:sz w:val="28"/>
                <w:szCs w:val="28"/>
                <w:lang w:val="uk-UA" w:bidi="ar-SA"/>
              </w:rPr>
              <w:t xml:space="preserve">Посадовий оклад – 20 795 </w:t>
            </w:r>
            <w:r>
              <w:rPr>
                <w:rFonts w:eastAsia="Times New Roman" w:cs="Times New Roman"/>
                <w:bCs/>
                <w:kern w:val="0"/>
                <w:sz w:val="28"/>
                <w:szCs w:val="28"/>
                <w:lang w:val="uk-UA" w:bidi="ar-SA"/>
              </w:rPr>
              <w:t xml:space="preserve">грн, </w:t>
            </w:r>
            <w:r>
              <w:rPr>
                <w:rStyle w:val="csd2c743de"/>
                <w:rFonts w:eastAsia="Times New Roman" w:cs="Times New Roman"/>
                <w:color w:val="000000"/>
                <w:kern w:val="0"/>
                <w:sz w:val="28"/>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jc w:val="both"/>
              <w:rPr/>
            </w:pPr>
            <w:r>
              <w:rPr>
                <w:rStyle w:val="csd2c743de"/>
                <w:rFonts w:eastAsia="Times New Roman" w:cs="Times New Roman"/>
                <w:color w:val="000000"/>
                <w:kern w:val="0"/>
                <w:sz w:val="28"/>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187" w:hRule="atLeast"/>
        </w:trPr>
        <w:tc>
          <w:tcPr>
            <w:tcW w:w="3675" w:type="dxa"/>
            <w:gridSpan w:val="5"/>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Інформація про строковість</w:t>
            </w:r>
          </w:p>
          <w:p>
            <w:pPr>
              <w:pStyle w:val="Default"/>
              <w:spacing w:lineRule="auto" w:line="240"/>
              <w:jc w:val="both"/>
              <w:rPr>
                <w:sz w:val="28"/>
                <w:szCs w:val="28"/>
              </w:rPr>
            </w:pPr>
            <w:r>
              <w:rPr>
                <w:bCs/>
                <w:color w:val="auto"/>
                <w:sz w:val="28"/>
                <w:szCs w:val="28"/>
                <w:lang w:eastAsia="ru-RU"/>
              </w:rPr>
              <w:t>чи безстроковість</w:t>
            </w:r>
          </w:p>
          <w:p>
            <w:pPr>
              <w:pStyle w:val="Default"/>
              <w:spacing w:lineRule="auto" w:line="240"/>
              <w:jc w:val="both"/>
              <w:rPr>
                <w:sz w:val="28"/>
                <w:szCs w:val="28"/>
              </w:rPr>
            </w:pPr>
            <w:r>
              <w:rPr>
                <w:bCs/>
                <w:color w:val="auto"/>
                <w:sz w:val="28"/>
                <w:szCs w:val="28"/>
                <w:lang w:eastAsia="ru-RU"/>
              </w:rPr>
              <w:t>призначення на посаду</w:t>
            </w:r>
          </w:p>
        </w:tc>
        <w:tc>
          <w:tcPr>
            <w:tcW w:w="6107" w:type="dxa"/>
            <w:tcBorders>
              <w:top w:val="single" w:sz="4" w:space="0" w:color="000000"/>
              <w:left w:val="single" w:sz="4" w:space="0" w:color="000000"/>
              <w:bottom w:val="single" w:sz="4" w:space="0" w:color="000000"/>
              <w:right w:val="single" w:sz="4" w:space="0" w:color="000000"/>
            </w:tcBorders>
          </w:tcPr>
          <w:p>
            <w:pPr>
              <w:pStyle w:val="Style26"/>
              <w:widowControl/>
              <w:suppressAutoHyphens w:val="true"/>
              <w:spacing w:lineRule="auto" w:line="240" w:before="0" w:after="0"/>
              <w:ind w:hanging="0"/>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spacing w:lineRule="auto" w:line="240"/>
              <w:jc w:val="center"/>
              <w:rPr>
                <w:sz w:val="28"/>
                <w:szCs w:val="28"/>
              </w:rPr>
            </w:pPr>
            <w:r>
              <w:rPr>
                <w:b/>
                <w:bCs/>
                <w:color w:val="auto"/>
                <w:sz w:val="28"/>
                <w:szCs w:val="28"/>
                <w:lang w:eastAsia="ru-RU"/>
              </w:rPr>
              <w:t>Кваліфікаційні вимоги</w:t>
            </w:r>
          </w:p>
          <w:p>
            <w:pPr>
              <w:pStyle w:val="Default"/>
              <w:spacing w:lineRule="auto" w:line="240"/>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sz w:val="28"/>
                <w:szCs w:val="28"/>
              </w:rPr>
            </w:pPr>
            <w:r>
              <w:rPr>
                <w:b/>
                <w:i/>
                <w:iCs/>
                <w:sz w:val="28"/>
                <w:szCs w:val="28"/>
              </w:rPr>
              <w:t>Обов’язковою</w:t>
            </w:r>
            <w:r>
              <w:rPr>
                <w:b/>
                <w:i/>
                <w:iCs/>
                <w:spacing w:val="80"/>
                <w:sz w:val="28"/>
                <w:szCs w:val="28"/>
              </w:rPr>
              <w:t xml:space="preserve"> </w:t>
            </w:r>
            <w:r>
              <w:rPr>
                <w:b/>
                <w:i/>
                <w:iCs/>
                <w:sz w:val="28"/>
                <w:szCs w:val="28"/>
              </w:rPr>
              <w:t>вимогою</w:t>
            </w:r>
            <w:r>
              <w:rPr>
                <w:b/>
                <w:i/>
                <w:iCs/>
                <w:spacing w:val="80"/>
                <w:sz w:val="28"/>
                <w:szCs w:val="28"/>
              </w:rPr>
              <w:t xml:space="preserve"> </w:t>
            </w:r>
            <w:r>
              <w:rPr>
                <w:b/>
                <w:i/>
                <w:iCs/>
                <w:sz w:val="28"/>
                <w:szCs w:val="28"/>
              </w:rPr>
              <w:t>до</w:t>
            </w:r>
            <w:r>
              <w:rPr>
                <w:b/>
                <w:i/>
                <w:iCs/>
                <w:spacing w:val="80"/>
                <w:sz w:val="28"/>
                <w:szCs w:val="28"/>
              </w:rPr>
              <w:t xml:space="preserve"> </w:t>
            </w:r>
            <w:r>
              <w:rPr>
                <w:b/>
                <w:i/>
                <w:iCs/>
                <w:sz w:val="28"/>
                <w:szCs w:val="28"/>
              </w:rPr>
              <w:t>осіб,</w:t>
            </w:r>
            <w:r>
              <w:rPr>
                <w:b/>
                <w:i/>
                <w:iCs/>
                <w:spacing w:val="80"/>
                <w:sz w:val="28"/>
                <w:szCs w:val="28"/>
              </w:rPr>
              <w:t xml:space="preserve"> </w:t>
            </w:r>
            <w:r>
              <w:rPr>
                <w:b/>
                <w:i/>
                <w:iCs/>
                <w:sz w:val="28"/>
                <w:szCs w:val="28"/>
              </w:rPr>
              <w:t>які</w:t>
            </w:r>
            <w:r>
              <w:rPr>
                <w:b/>
                <w:i/>
                <w:iCs/>
                <w:spacing w:val="80"/>
                <w:sz w:val="28"/>
                <w:szCs w:val="28"/>
              </w:rPr>
              <w:t xml:space="preserve"> </w:t>
            </w:r>
            <w:r>
              <w:rPr>
                <w:b/>
                <w:i/>
                <w:iCs/>
                <w:sz w:val="28"/>
                <w:szCs w:val="28"/>
              </w:rPr>
              <w:t>претендують</w:t>
            </w:r>
            <w:r>
              <w:rPr>
                <w:b/>
                <w:i/>
                <w:iCs/>
                <w:spacing w:val="80"/>
                <w:sz w:val="28"/>
                <w:szCs w:val="28"/>
              </w:rPr>
              <w:t xml:space="preserve"> </w:t>
            </w:r>
            <w:r>
              <w:rPr>
                <w:b/>
                <w:i/>
                <w:iCs/>
                <w:sz w:val="28"/>
                <w:szCs w:val="28"/>
              </w:rPr>
              <w:t>на</w:t>
            </w:r>
            <w:r>
              <w:rPr>
                <w:b/>
                <w:i/>
                <w:iCs/>
                <w:spacing w:val="80"/>
                <w:sz w:val="28"/>
                <w:szCs w:val="28"/>
              </w:rPr>
              <w:t xml:space="preserve"> </w:t>
            </w:r>
            <w:r>
              <w:rPr>
                <w:b/>
                <w:i/>
                <w:iCs/>
                <w:sz w:val="28"/>
                <w:szCs w:val="28"/>
              </w:rPr>
              <w:t>посаду,</w:t>
            </w:r>
            <w:r>
              <w:rPr>
                <w:b/>
                <w:i/>
                <w:iCs/>
                <w:spacing w:val="80"/>
                <w:sz w:val="28"/>
                <w:szCs w:val="28"/>
              </w:rPr>
              <w:t xml:space="preserve"> </w:t>
            </w:r>
            <w:r>
              <w:rPr>
                <w:b/>
                <w:i/>
                <w:iCs/>
                <w:sz w:val="28"/>
                <w:szCs w:val="28"/>
              </w:rPr>
              <w:t>є наявність</w:t>
            </w:r>
            <w:r>
              <w:rPr>
                <w:b/>
                <w:i/>
                <w:iCs/>
                <w:spacing w:val="-1"/>
                <w:sz w:val="28"/>
                <w:szCs w:val="28"/>
              </w:rPr>
              <w:t xml:space="preserve"> </w:t>
            </w:r>
            <w:r>
              <w:rPr>
                <w:b/>
                <w:i/>
                <w:iCs/>
                <w:sz w:val="28"/>
                <w:szCs w:val="28"/>
              </w:rPr>
              <w:t xml:space="preserve">громадянства України та відсутність громадянства інших </w:t>
            </w:r>
            <w:r>
              <w:rPr>
                <w:b/>
                <w:i/>
                <w:iCs/>
                <w:spacing w:val="-2"/>
                <w:sz w:val="28"/>
                <w:szCs w:val="28"/>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Освіта</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ind w:hanging="0"/>
              <w:jc w:val="both"/>
              <w:rPr/>
            </w:pPr>
            <w:r>
              <w:rPr>
                <w:rStyle w:val="rvts0"/>
                <w:i w:val="false"/>
                <w:iCs w:val="false"/>
                <w:color w:val="000000"/>
                <w:sz w:val="28"/>
                <w:szCs w:val="28"/>
              </w:rPr>
              <w:t>вища освіта за освітнім ступенем не нижче молодшого бакалавра,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Досвід роботи</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ind w:hanging="0"/>
              <w:jc w:val="both"/>
              <w:rPr>
                <w:sz w:val="28"/>
                <w:szCs w:val="28"/>
              </w:rPr>
            </w:pPr>
            <w:r>
              <w:rPr>
                <w:i w:val="false"/>
                <w:iCs w:val="false"/>
                <w:color w:val="000000"/>
                <w:sz w:val="28"/>
                <w:szCs w:val="28"/>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3.</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Володіння державною мовою</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Вимоги до компетентності</w:t>
            </w:r>
          </w:p>
        </w:tc>
      </w:tr>
      <w:tr>
        <w:trPr>
          <w:trHeight w:val="437" w:hRule="atLeast"/>
        </w:trPr>
        <w:tc>
          <w:tcPr>
            <w:tcW w:w="352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Вимога</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1.</w:t>
            </w:r>
          </w:p>
        </w:tc>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color w:val="000000"/>
                <w:sz w:val="28"/>
                <w:szCs w:val="28"/>
              </w:rPr>
              <w:t>Якісне виконання поставлених завдань</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 xml:space="preserve"> </w:t>
            </w:r>
            <w:r>
              <w:rPr>
                <w:color w:val="000000"/>
                <w:sz w:val="28"/>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2.</w:t>
            </w:r>
          </w:p>
        </w:tc>
        <w:tc>
          <w:tcPr>
            <w:tcW w:w="29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32" w:right="106"/>
              <w:jc w:val="both"/>
              <w:rPr>
                <w:sz w:val="28"/>
                <w:szCs w:val="28"/>
              </w:rPr>
            </w:pPr>
            <w:r>
              <w:rPr>
                <w:color w:val="000000"/>
                <w:sz w:val="28"/>
                <w:szCs w:val="28"/>
              </w:rPr>
              <w:t>Відповідальність, командна робота та взаємодія</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sz w:val="28"/>
                <w:szCs w:val="28"/>
              </w:rPr>
              <w:t xml:space="preserve">вміння працювати в </w:t>
            </w:r>
            <w:r>
              <w:rPr>
                <w:color w:val="000000"/>
                <w:sz w:val="28"/>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3.</w:t>
            </w:r>
          </w:p>
        </w:tc>
        <w:tc>
          <w:tcPr>
            <w:tcW w:w="29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jc w:val="both"/>
              <w:rPr>
                <w:sz w:val="28"/>
                <w:szCs w:val="28"/>
              </w:rPr>
            </w:pPr>
            <w:r>
              <w:rPr>
                <w:bCs/>
                <w:sz w:val="28"/>
                <w:szCs w:val="28"/>
              </w:rPr>
              <w:t>Аналітичні здібності та обґрунтування власної позиції</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 xml:space="preserve"> </w:t>
            </w:r>
            <w:r>
              <w:rPr>
                <w:color w:val="000000"/>
                <w:sz w:val="28"/>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 w:val="28"/>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Професійні знання</w:t>
            </w:r>
          </w:p>
        </w:tc>
      </w:tr>
      <w:tr>
        <w:trPr>
          <w:trHeight w:val="255" w:hRule="atLeast"/>
        </w:trPr>
        <w:tc>
          <w:tcPr>
            <w:tcW w:w="3544" w:type="dxa"/>
            <w:gridSpan w:val="4"/>
            <w:tcBorders>
              <w:top w:val="single" w:sz="4" w:space="0" w:color="000000"/>
              <w:left w:val="single" w:sz="4" w:space="0" w:color="000000"/>
              <w:bottom w:val="single" w:sz="4" w:space="0" w:color="000000"/>
              <w:right w:val="single" w:sz="4" w:space="0" w:color="000000"/>
            </w:tcBorders>
          </w:tcPr>
          <w:p>
            <w:pPr>
              <w:pStyle w:val="Default"/>
              <w:spacing w:lineRule="auto" w:line="240"/>
              <w:jc w:val="center"/>
              <w:rPr>
                <w:sz w:val="28"/>
                <w:szCs w:val="28"/>
              </w:rPr>
            </w:pPr>
            <w:r>
              <w:rPr>
                <w:b/>
                <w:bCs/>
                <w:color w:val="auto"/>
                <w:sz w:val="28"/>
                <w:szCs w:val="28"/>
                <w:lang w:eastAsia="ru-RU"/>
              </w:rPr>
              <w:t>Вимоги</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Знання законодавства</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both"/>
              <w:rPr>
                <w:sz w:val="28"/>
                <w:szCs w:val="28"/>
              </w:rPr>
            </w:pPr>
            <w:r>
              <w:rPr>
                <w:sz w:val="28"/>
                <w:szCs w:val="28"/>
              </w:rPr>
              <w:t>Знання:</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jc w:val="both"/>
              <w:rPr>
                <w:sz w:val="28"/>
                <w:szCs w:val="28"/>
              </w:rPr>
            </w:pPr>
            <w:r>
              <w:rPr>
                <w:color w:val="000000"/>
                <w:sz w:val="28"/>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spacing w:lineRule="auto" w:line="240"/>
              <w:jc w:val="both"/>
              <w:rPr>
                <w:sz w:val="28"/>
                <w:szCs w:val="28"/>
              </w:rPr>
            </w:pPr>
            <w:r>
              <w:rPr>
                <w:bCs/>
                <w:color w:val="auto"/>
                <w:sz w:val="28"/>
                <w:szCs w:val="28"/>
                <w:lang w:eastAsia="ru-RU"/>
              </w:rPr>
              <w:t>Знання законодавства у сфері</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Закон України «Про відпустки»;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Порядок присвоєння рангів державним службовцям, затверджений постановою КМУ від 20.04.2016 р. № 306 (зі змінами);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Закон України «Про очищення влади»;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Кодекс законів про працю України;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Постанова Кабінету Міністрів України від 25.03.2016 № 229 «Про затвердження Порядку обчислення стажу державної служби»;</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Постанова Кабінету Міністрів України від 18.01.2017 № 15 «Питання оплати праці працівників державних органів»;</w:t>
            </w:r>
          </w:p>
          <w:p>
            <w:pPr>
              <w:pStyle w:val="ListParagraph"/>
              <w:widowControl w:val="false"/>
              <w:numPr>
                <w:ilvl w:val="0"/>
                <w:numId w:val="3"/>
              </w:numPr>
              <w:tabs>
                <w:tab w:val="clear" w:pos="720"/>
                <w:tab w:val="left" w:pos="318" w:leader="none"/>
              </w:tabs>
              <w:spacing w:lineRule="auto" w:line="240"/>
              <w:ind w:hanging="0" w:left="0" w:right="-80"/>
              <w:jc w:val="both"/>
              <w:rPr/>
            </w:pPr>
            <w:r>
              <w:rPr>
                <w:color w:val="000000"/>
                <w:szCs w:val="28"/>
              </w:rPr>
              <w:t>Постанова Кабінету Міністрів України від 06.04.2016 № 270 «Про затвердження Порядку надання державним службовцям додаткових оплачуваних відпусток».</w:t>
            </w:r>
          </w:p>
        </w:tc>
      </w:tr>
    </w:tbl>
    <w:p>
      <w:pPr>
        <w:pStyle w:val="Style26"/>
        <w:spacing w:lineRule="auto" w:line="240"/>
        <w:ind w:hanging="0"/>
        <w:jc w:val="center"/>
        <w:rPr>
          <w:sz w:val="28"/>
          <w:szCs w:val="28"/>
        </w:rPr>
      </w:pPr>
      <w:bookmarkStart w:id="3" w:name="_Hlk218505826"/>
      <w:r>
        <w:rPr>
          <w:bCs/>
          <w:sz w:val="28"/>
          <w:szCs w:val="28"/>
        </w:rPr>
        <w:t>______________________</w:t>
      </w:r>
      <w:bookmarkEnd w:id="3"/>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 w:name="Times New Roman">
    <w:charset w:val="01"/>
    <w:family w:val="roman"/>
    <w:pitch w:val="variable"/>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14,4914" stroked="t" o:allowincell="f" style="position:absolute;margin-left:-140.25pt;margin-top:-140.25pt;width:139.25pt;height:139.25pt;mso-wrap-style:none;v-text-anchor:middle;mso-position-horizontal:center;mso-position-horizontal-relative:margin" path="m4913,4913l0,4913l0,0l4913,0l4913,4913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name w:val="Символи виноски"/>
    <w:qFormat/>
    <w:rPr/>
  </w:style>
  <w:style w:type="character" w:styleId="Style20">
    <w:name w:val="Символи кінцевої виноски"/>
    <w:qFormat/>
    <w:rPr/>
  </w:style>
  <w:style w:type="character" w:styleId="FollowedHyperlink">
    <w:name w:val="FollowedHyperlink"/>
    <w:rPr>
      <w:color w:val="800000"/>
      <w:u w:val="single"/>
    </w:rPr>
  </w:style>
  <w:style w:type="character" w:styleId="Style21">
    <w:name w:val="Символ нумерації"/>
    <w:qFormat/>
    <w:rPr/>
  </w:style>
  <w:style w:type="character" w:styleId="user">
    <w:name w:val="Символи кінцевої виноски (user)"/>
    <w:qFormat/>
    <w:rPr/>
  </w:style>
  <w:style w:type="character" w:styleId="user1">
    <w:name w:val="Символи виноски (user)"/>
    <w:qFormat/>
    <w:rPr/>
  </w:style>
  <w:style w:type="character" w:styleId="Style22">
    <w:name w:val="Підзаголовок Знак"/>
    <w:basedOn w:val="DefaultParagraphFont"/>
    <w:qFormat/>
    <w:rPr>
      <w:b/>
      <w:sz w:val="28"/>
    </w:rPr>
  </w:style>
  <w:style w:type="paragraph" w:styleId="Style23"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4" w:customStyle="1">
    <w:name w:val="Покажчик"/>
    <w:basedOn w:val="Normal"/>
    <w:qFormat/>
    <w:rsid w:val="00064349"/>
    <w:pPr>
      <w:suppressLineNumbers/>
    </w:pPr>
    <w:rPr>
      <w:rFonts w:cs="Lucida Sans"/>
    </w:rPr>
  </w:style>
  <w:style w:type="paragraph" w:styleId="user2"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3" w:customStyle="1">
    <w:name w:val="Покажчик (user)"/>
    <w:basedOn w:val="Normal"/>
    <w:qFormat/>
    <w:rsid w:val="001419e7"/>
    <w:pPr>
      <w:suppressLineNumbers/>
    </w:pPr>
    <w:rPr>
      <w:rFonts w:cs="Lucida Sans"/>
    </w:rPr>
  </w:style>
  <w:style w:type="paragraph" w:styleId="Style25" w:customStyle="1">
    <w:name w:val="Верхній і нижній колонтитули"/>
    <w:basedOn w:val="Normal"/>
    <w:qFormat/>
    <w:rsid w:val="001419e7"/>
    <w:pPr/>
    <w:rPr/>
  </w:style>
  <w:style w:type="paragraph" w:styleId="user4"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6" w:customStyle="1">
    <w:name w:val="Нормальний текст"/>
    <w:basedOn w:val="Normal"/>
    <w:qFormat/>
    <w:rsid w:val="00a0742f"/>
    <w:pPr>
      <w:spacing w:before="120" w:after="0"/>
      <w:ind w:firstLine="567"/>
    </w:pPr>
    <w:rPr/>
  </w:style>
  <w:style w:type="paragraph" w:styleId="Style27"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8" w:customStyle="1">
    <w:name w:val="Глава документу"/>
    <w:basedOn w:val="Normal"/>
    <w:next w:val="Normal"/>
    <w:qFormat/>
    <w:rsid w:val="00a0742f"/>
    <w:pPr>
      <w:keepNext w:val="true"/>
      <w:keepLines/>
      <w:spacing w:before="120" w:after="120"/>
      <w:jc w:val="center"/>
    </w:pPr>
    <w:rPr/>
  </w:style>
  <w:style w:type="paragraph" w:styleId="Style29" w:customStyle="1">
    <w:name w:val="Герб"/>
    <w:basedOn w:val="Normal"/>
    <w:qFormat/>
    <w:rsid w:val="00a0742f"/>
    <w:pPr>
      <w:keepNext w:val="true"/>
      <w:keepLines/>
      <w:jc w:val="center"/>
    </w:pPr>
    <w:rPr>
      <w:sz w:val="144"/>
      <w:lang w:val="en-US"/>
    </w:rPr>
  </w:style>
  <w:style w:type="paragraph" w:styleId="Style30" w:customStyle="1">
    <w:name w:val="Установа"/>
    <w:basedOn w:val="Normal"/>
    <w:qFormat/>
    <w:rsid w:val="00a0742f"/>
    <w:pPr>
      <w:keepNext w:val="true"/>
      <w:keepLines/>
      <w:spacing w:before="120" w:after="0"/>
      <w:jc w:val="center"/>
    </w:pPr>
    <w:rPr>
      <w:b/>
      <w:sz w:val="40"/>
    </w:rPr>
  </w:style>
  <w:style w:type="paragraph" w:styleId="Style31" w:customStyle="1">
    <w:name w:val="Вид документа"/>
    <w:basedOn w:val="Style30"/>
    <w:next w:val="Normal"/>
    <w:qFormat/>
    <w:rsid w:val="00a0742f"/>
    <w:pPr>
      <w:spacing w:before="360" w:after="240"/>
    </w:pPr>
    <w:rPr>
      <w:spacing w:val="20"/>
      <w:sz w:val="26"/>
    </w:rPr>
  </w:style>
  <w:style w:type="paragraph" w:styleId="Style32" w:customStyle="1">
    <w:name w:val="Час та місце"/>
    <w:basedOn w:val="Normal"/>
    <w:qFormat/>
    <w:rsid w:val="00a0742f"/>
    <w:pPr>
      <w:keepNext w:val="true"/>
      <w:keepLines/>
      <w:spacing w:before="120" w:after="240"/>
      <w:jc w:val="center"/>
    </w:pPr>
    <w:rPr/>
  </w:style>
  <w:style w:type="paragraph" w:styleId="Style33" w:customStyle="1">
    <w:name w:val="Назва документа"/>
    <w:basedOn w:val="Normal"/>
    <w:next w:val="Style26"/>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5"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4" w:customStyle="1">
    <w:name w:val="Вміст рамки"/>
    <w:basedOn w:val="Normal"/>
    <w:qFormat/>
    <w:rsid w:val="00064349"/>
    <w:pPr/>
    <w:rPr/>
  </w:style>
  <w:style w:type="paragraph" w:styleId="user6"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5"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6"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7">
    <w:name w:val="Заголовок таблиці (user)"/>
    <w:basedOn w:val="user6"/>
    <w:qFormat/>
    <w:pPr>
      <w:suppressLineNumbers/>
      <w:jc w:val="center"/>
    </w:pPr>
    <w:rPr>
      <w:b/>
      <w:bCs/>
    </w:rPr>
  </w:style>
  <w:style w:type="paragraph" w:styleId="Style37">
    <w:name w:val="Зміст списку"/>
    <w:basedOn w:val="Normal"/>
    <w:qFormat/>
    <w:pPr>
      <w:ind w:left="567"/>
    </w:pPr>
    <w:rPr/>
  </w:style>
  <w:style w:type="paragraph" w:styleId="user8">
    <w:name w:val="Зміст списку (user)"/>
    <w:basedOn w:val="Normal"/>
    <w:qFormat/>
    <w:pPr>
      <w:ind w:left="567"/>
    </w:pPr>
    <w:rPr/>
  </w:style>
  <w:style w:type="paragraph" w:styleId="Style38">
    <w:name w:val="Вміст таблиці"/>
    <w:basedOn w:val="Normal"/>
    <w:qFormat/>
    <w:pPr>
      <w:widowControl w:val="false"/>
      <w:suppressLineNumbers/>
    </w:pPr>
    <w:rPr/>
  </w:style>
  <w:style w:type="paragraph" w:styleId="Style39">
    <w:name w:val="Заголовок таблиці"/>
    <w:basedOn w:val="Style38"/>
    <w:qFormat/>
    <w:pPr>
      <w:suppressLineNumbers/>
      <w:jc w:val="center"/>
    </w:pPr>
    <w:rPr>
      <w:b/>
      <w:bCs/>
    </w:rPr>
  </w:style>
  <w:style w:type="paragraph" w:styleId="user9">
    <w:name w:val="Верхній колонтитул ліворуч (user)"/>
    <w:basedOn w:val="Header"/>
    <w:qFormat/>
    <w:pPr>
      <w:suppressLineNumbers/>
      <w:tabs>
        <w:tab w:val="clear" w:pos="4153"/>
        <w:tab w:val="clear" w:pos="8306"/>
        <w:tab w:val="center" w:pos="4890" w:leader="none"/>
        <w:tab w:val="right" w:pos="9781" w:leader="none"/>
      </w:tabs>
    </w:pPr>
    <w:rPr/>
  </w:style>
  <w:style w:type="numbering" w:styleId="Style40" w:customStyle="1">
    <w:name w:val="Без маркерів"/>
    <w:uiPriority w:val="99"/>
    <w:semiHidden/>
    <w:unhideWhenUsed/>
    <w:qFormat/>
    <w:rsid w:val="00064349"/>
  </w:style>
  <w:style w:type="numbering" w:styleId="user10"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7">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Application>LibreOffice/26.2.0.3$Windows_X86_64 LibreOffice_project/620$Build-3</Application>
  <AppVersion>15.0000</AppVersion>
  <Pages>4</Pages>
  <Words>801</Words>
  <Characters>5597</Characters>
  <CharactersWithSpaces>6313</CharactersWithSpaces>
  <Paragraphs>74</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2026-09-02T17:19:22Z</dcterms:modified>
  <cp:revision>113</cp:revision>
  <dc:subject/>
  <dc:title>£</dc:title>
</cp:coreProperties>
</file>

<file path=docProps/custom.xml><?xml version="1.0" encoding="utf-8"?>
<Properties xmlns="http://schemas.openxmlformats.org/officeDocument/2006/custom-properties" xmlns:vt="http://schemas.openxmlformats.org/officeDocument/2006/docPropsVTypes"/>
</file>