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szCs w:val="28"/>
        </w:rPr>
      </w:r>
    </w:p>
    <w:p>
      <w:pPr>
        <w:pStyle w:val="Normal"/>
        <w:ind w:hanging="0"/>
        <w:jc w:val="center"/>
        <w:rPr>
          <w:sz w:val="28"/>
          <w:szCs w:val="28"/>
        </w:rPr>
      </w:pPr>
      <w:r>
        <w:rPr>
          <w:bCs/>
          <w:sz w:val="28"/>
          <w:szCs w:val="28"/>
          <w:lang w:val="ru-RU"/>
        </w:rPr>
        <w:t>Умови</w:t>
      </w:r>
    </w:p>
    <w:p>
      <w:pPr>
        <w:pStyle w:val="Normal"/>
        <w:ind w:hanging="0"/>
        <w:jc w:val="center"/>
        <w:rPr>
          <w:sz w:val="28"/>
          <w:szCs w:val="28"/>
        </w:rPr>
      </w:pPr>
      <w:r>
        <w:rPr>
          <w:bCs/>
          <w:sz w:val="28"/>
          <w:szCs w:val="28"/>
          <w:lang w:val="ru-RU"/>
        </w:rPr>
        <w:t>проведення добору</w:t>
      </w:r>
    </w:p>
    <w:p>
      <w:pPr>
        <w:pStyle w:val="Normal"/>
        <w:ind w:hanging="0"/>
        <w:jc w:val="center"/>
        <w:rPr>
          <w:sz w:val="28"/>
          <w:szCs w:val="28"/>
        </w:rPr>
      </w:pPr>
      <w:r>
        <w:rPr>
          <w:bCs/>
          <w:sz w:val="28"/>
          <w:szCs w:val="28"/>
        </w:rPr>
        <w:t xml:space="preserve">на зайняття посади державної служби категорії «В» - головного спеціаліста відділу </w:t>
      </w:r>
      <w:r>
        <w:rPr>
          <w:sz w:val="28"/>
          <w:szCs w:val="28"/>
        </w:rPr>
        <w:t>добору, оцінки та розвитку персоналу управління по роботі з персоналом (на період відсутності основного працівника)</w:t>
      </w:r>
    </w:p>
    <w:p>
      <w:pPr>
        <w:pStyle w:val="Normal"/>
        <w:ind w:hanging="0"/>
        <w:jc w:val="center"/>
        <w:rPr/>
      </w:pPr>
      <w:r>
        <w:rPr>
          <w:rStyle w:val="csd2c743de"/>
          <w:bCs/>
          <w:color w:val="000000"/>
          <w:sz w:val="28"/>
          <w:szCs w:val="28"/>
        </w:rPr>
        <w:t>(вул. Бульварно-Кудрявська, 16)</w:t>
      </w:r>
    </w:p>
    <w:p>
      <w:pPr>
        <w:pStyle w:val="cs7c5251be"/>
        <w:spacing w:beforeAutospacing="0" w:before="0" w:afterAutospacing="0" w:after="0"/>
        <w:jc w:val="center"/>
        <w:rPr>
          <w:bCs/>
          <w:sz w:val="28"/>
          <w:szCs w:val="28"/>
        </w:rPr>
      </w:pPr>
      <w:r>
        <w:rPr>
          <w:bCs/>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46"/>
        <w:gridCol w:w="15"/>
        <w:gridCol w:w="71"/>
        <w:gridCol w:w="6167"/>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sz w:val="28"/>
                <w:szCs w:val="28"/>
              </w:rPr>
            </w:pPr>
            <w:r>
              <w:rPr>
                <w:bCs/>
                <w:sz w:val="28"/>
                <w:szCs w:val="28"/>
              </w:rPr>
              <w:t>Загальні умови</w:t>
            </w:r>
          </w:p>
        </w:tc>
      </w:tr>
      <w:tr>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Посадові обов’язки</w:t>
            </w:r>
          </w:p>
        </w:tc>
        <w:tc>
          <w:tcPr>
            <w:tcW w:w="6167" w:type="dxa"/>
            <w:tcBorders>
              <w:top w:val="single" w:sz="4" w:space="0" w:color="000000"/>
              <w:left w:val="single" w:sz="4" w:space="0" w:color="000000"/>
              <w:bottom w:val="single" w:sz="4" w:space="0" w:color="000000"/>
              <w:right w:val="single" w:sz="4" w:space="0" w:color="000000"/>
            </w:tcBorders>
          </w:tcPr>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bookmarkStart w:id="0" w:name="n92"/>
            <w:bookmarkStart w:id="1" w:name="n186"/>
            <w:bookmarkStart w:id="2" w:name="n85"/>
            <w:bookmarkEnd w:id="0"/>
            <w:bookmarkEnd w:id="1"/>
            <w:bookmarkEnd w:id="2"/>
            <w:r>
              <w:rPr>
                <w:rFonts w:ascii="Times New Roman" w:hAnsi="Times New Roman"/>
                <w:sz w:val="28"/>
                <w:szCs w:val="28"/>
              </w:rPr>
              <w:t>1. Розроблення умов проведення конкурсів, спеціальних вимоги до осіб, які претендують на зайняття посад державної служби категорій “Б” і “В”.</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2. Забезпечення проведення конкурсу (добору) персоналу на вакантні посади державної служби, проведення перевірки інформації поданої кандидатами на зайняття посад державної служби категорії «Б» і «В» на достовірність встановленим законом вимогам, повідомлення кандидатів про результати такої перевірки та подання на розгляд конкурсній комісії, повідомлення кандидатів про результати конкурсу (добору), здійснення інших заходів щодо організації конкурсного відбору та поширення інформації про вакантні посади в Головному управлінні Пенсійного фонду України в м. Києві (далі – Головне управління Фонду).</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rFonts w:ascii="Times New Roman" w:hAnsi="Times New Roman"/>
                <w:sz w:val="28"/>
                <w:szCs w:val="28"/>
              </w:rPr>
            </w:pPr>
            <w:r>
              <w:rPr>
                <w:rFonts w:ascii="Times New Roman" w:hAnsi="Times New Roman"/>
                <w:sz w:val="28"/>
                <w:szCs w:val="28"/>
              </w:rPr>
              <w:t>3. Здійснення підготовки проектів наказів з питань основної діяльності,  адміністративно-господарських питань та особового складу, що належать до компетенції управління.</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4. Організація проведення внутрішніх навчань державних службовців Головного управління Фонду, здійснення планування та обліку професійного навчання державних службовців Головного управління Фонду.</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5. Забезпечення підготовки документів щодо підвищення рівня професійної компетентності державних службовців Головного управління Фонду, облік та здійснення моніторингу виконання індивідуальних програм. Забезпечення ведення діловодства в електронній формі в підсистемі «Документообіг» інтегрованої комплексної системи Пенсійного фонду України, ведення та наповнення програмного забезпечення «Облікова картка працівників», здійснення роботи пов’язаної із заповненням, обліком, зберіганням та архівуванням особових справ працівників, засвідчення копій документів.</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6. Перевірка дотримання вимог законодавства про працю та державну службу, Правил внутрішнього трудового розпорядку, Правил службового розпорядку в Головному управлінні. Ознайомлення державних службовців Головного управління Фонду з наказами та іншими документами з проставлянням ними підписів та дати ознайомлення.</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sz w:val="28"/>
                <w:szCs w:val="28"/>
              </w:rPr>
            </w:pPr>
            <w:r>
              <w:rPr>
                <w:rFonts w:ascii="Times New Roman" w:hAnsi="Times New Roman"/>
                <w:sz w:val="28"/>
                <w:szCs w:val="28"/>
              </w:rPr>
              <w:t>7. В межах своєї компетенції розглядати листи, звернення скарги, інші документи, що надходять до управління та готувати проекти відповідей на них.</w:t>
            </w:r>
          </w:p>
          <w:p>
            <w:pPr>
              <w:pStyle w:val="311"/>
              <w:numPr>
                <w:ilvl w:val="0"/>
                <w:numId w:val="0"/>
              </w:numPr>
              <w:shd w:val="clear" w:color="auto" w:fill="auto"/>
              <w:tabs>
                <w:tab w:val="clear" w:pos="720"/>
                <w:tab w:val="left" w:pos="318" w:leader="none"/>
              </w:tabs>
              <w:suppressAutoHyphens w:val="false"/>
              <w:spacing w:lineRule="auto" w:line="240" w:before="0" w:after="0"/>
              <w:ind w:hanging="0" w:left="0"/>
              <w:jc w:val="both"/>
              <w:rPr>
                <w:color w:val="000000"/>
                <w:sz w:val="28"/>
                <w:szCs w:val="28"/>
              </w:rPr>
            </w:pPr>
            <w:r>
              <w:rPr>
                <w:rFonts w:ascii="Times New Roman" w:hAnsi="Times New Roman"/>
                <w:color w:val="000000"/>
                <w:sz w:val="28"/>
                <w:szCs w:val="28"/>
                <w:lang w:eastAsia="uk-UA"/>
              </w:rPr>
              <w:t>8. Підготовка звітності з кадрових питань, надання консультативної допомоги працівникам Головного управління Фонду з питань управління персоналом.</w:t>
            </w:r>
          </w:p>
        </w:tc>
      </w:tr>
      <w:tr>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Умови оплати праці</w:t>
            </w:r>
          </w:p>
        </w:tc>
        <w:tc>
          <w:tcPr>
            <w:tcW w:w="6167" w:type="dxa"/>
            <w:tcBorders>
              <w:top w:val="single" w:sz="4" w:space="0" w:color="000000"/>
              <w:left w:val="single" w:sz="4" w:space="0" w:color="000000"/>
              <w:bottom w:val="single" w:sz="4" w:space="0" w:color="000000"/>
              <w:right w:val="single" w:sz="4" w:space="0" w:color="000000"/>
            </w:tcBorders>
            <w:vAlign w:val="center"/>
          </w:tcPr>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Fonts w:eastAsia="Times New Roman" w:cs="Times New Roman" w:ascii="Times New Roman" w:hAnsi="Times New Roman"/>
                <w:color w:val="auto"/>
                <w:kern w:val="0"/>
                <w:sz w:val="28"/>
                <w:szCs w:val="28"/>
                <w:lang w:val="uk-UA" w:eastAsia="ru-RU" w:bidi="ar-SA"/>
              </w:rPr>
              <w:t xml:space="preserve">Посадовий оклад – 20 795 </w:t>
            </w:r>
            <w:r>
              <w:rPr>
                <w:rStyle w:val="csd2c743de"/>
                <w:rFonts w:eastAsia="Times New Roman" w:cs="Times New Roman" w:ascii="Times New Roman" w:hAnsi="Times New Roman"/>
                <w:color w:val="auto"/>
                <w:kern w:val="0"/>
                <w:sz w:val="28"/>
                <w:szCs w:val="28"/>
                <w:lang w:val="uk-UA" w:eastAsia="ru-RU" w:bidi="ar-SA"/>
              </w:rPr>
              <w:t>грн. 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Style w:val="csd2c743de"/>
                <w:rFonts w:eastAsia="Times New Roman" w:cs="Times New Roman" w:ascii="Times New Roman" w:hAnsi="Times New Roman"/>
                <w:color w:val="auto"/>
                <w:kern w:val="0"/>
                <w:sz w:val="28"/>
                <w:szCs w:val="28"/>
                <w:lang w:val="uk-UA" w:eastAsia="ru-RU"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615" w:type="dxa"/>
            <w:gridSpan w:val="5"/>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Інформація про строковість</w:t>
            </w:r>
          </w:p>
          <w:p>
            <w:pPr>
              <w:pStyle w:val="Default"/>
              <w:rPr>
                <w:sz w:val="28"/>
                <w:szCs w:val="28"/>
              </w:rPr>
            </w:pPr>
            <w:r>
              <w:rPr>
                <w:bCs/>
                <w:color w:val="auto"/>
                <w:sz w:val="28"/>
                <w:szCs w:val="28"/>
                <w:lang w:eastAsia="ru-RU"/>
              </w:rPr>
              <w:t>чи безстроковість</w:t>
            </w:r>
          </w:p>
          <w:p>
            <w:pPr>
              <w:pStyle w:val="Default"/>
              <w:rPr>
                <w:sz w:val="28"/>
                <w:szCs w:val="28"/>
              </w:rPr>
            </w:pPr>
            <w:r>
              <w:rPr>
                <w:bCs/>
                <w:color w:val="auto"/>
                <w:sz w:val="28"/>
                <w:szCs w:val="28"/>
                <w:lang w:eastAsia="ru-RU"/>
              </w:rPr>
              <w:t>призначення на посаду</w:t>
            </w:r>
          </w:p>
        </w:tc>
        <w:tc>
          <w:tcPr>
            <w:tcW w:w="6167" w:type="dxa"/>
            <w:tcBorders>
              <w:top w:val="single" w:sz="4" w:space="0" w:color="000000"/>
              <w:left w:val="single" w:sz="4" w:space="0" w:color="000000"/>
              <w:bottom w:val="single" w:sz="4" w:space="0" w:color="000000"/>
              <w:right w:val="single" w:sz="4" w:space="0" w:color="000000"/>
            </w:tcBorders>
          </w:tcPr>
          <w:p>
            <w:pPr>
              <w:pStyle w:val="311"/>
              <w:numPr>
                <w:ilvl w:val="0"/>
                <w:numId w:val="0"/>
              </w:numPr>
              <w:shd w:val="clear" w:color="auto" w:fill="auto"/>
              <w:tabs>
                <w:tab w:val="clear" w:pos="720"/>
                <w:tab w:val="left" w:pos="318" w:leader="none"/>
              </w:tabs>
              <w:suppressAutoHyphens w:val="false"/>
              <w:bidi w:val="0"/>
              <w:spacing w:lineRule="auto" w:line="240" w:before="0" w:after="0"/>
              <w:ind w:hanging="0" w:left="0"/>
              <w:jc w:val="both"/>
              <w:rPr/>
            </w:pPr>
            <w:r>
              <w:rPr>
                <w:rStyle w:val="csd2c743de"/>
                <w:rFonts w:eastAsia="Times New Roman" w:cs="Times New Roman" w:ascii="Times New Roman" w:hAnsi="Times New Roman"/>
                <w:color w:val="auto"/>
                <w:kern w:val="0"/>
                <w:sz w:val="28"/>
                <w:szCs w:val="28"/>
                <w:lang w:val="uk-UA" w:eastAsia="ru-RU"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u w:val="none"/>
              </w:rPr>
            </w:pPr>
            <w:r>
              <w:rPr>
                <w:b/>
                <w:bCs w:val="false"/>
                <w:i/>
                <w:iCs/>
                <w:color w:val="auto"/>
                <w:spacing w:val="-2"/>
                <w:sz w:val="28"/>
                <w:szCs w:val="28"/>
                <w:u w:val="none"/>
                <w:lang w:eastAsia="ru-RU"/>
              </w:rPr>
              <w:t>Обов’язковою</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вимогою</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до</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осіб,</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які</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претендують</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на</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посаду,</w:t>
            </w:r>
            <w:r>
              <w:rPr>
                <w:b/>
                <w:bCs w:val="false"/>
                <w:i/>
                <w:iCs/>
                <w:color w:val="auto"/>
                <w:spacing w:val="80"/>
                <w:sz w:val="28"/>
                <w:szCs w:val="28"/>
                <w:u w:val="none"/>
                <w:lang w:eastAsia="ru-RU"/>
              </w:rPr>
              <w:t xml:space="preserve"> </w:t>
            </w:r>
            <w:r>
              <w:rPr>
                <w:b/>
                <w:bCs w:val="false"/>
                <w:i/>
                <w:iCs/>
                <w:color w:val="auto"/>
                <w:spacing w:val="-2"/>
                <w:sz w:val="28"/>
                <w:szCs w:val="28"/>
                <w:u w:val="none"/>
                <w:lang w:eastAsia="ru-RU"/>
              </w:rPr>
              <w:t>є наявність</w:t>
            </w:r>
            <w:r>
              <w:rPr>
                <w:b/>
                <w:bCs w:val="false"/>
                <w:i/>
                <w:iCs/>
                <w:color w:val="auto"/>
                <w:spacing w:val="-1"/>
                <w:sz w:val="28"/>
                <w:szCs w:val="28"/>
                <w:u w:val="none"/>
                <w:lang w:eastAsia="ru-RU"/>
              </w:rPr>
              <w:t xml:space="preserve"> </w:t>
            </w:r>
            <w:r>
              <w:rPr>
                <w:b/>
                <w:bCs w:val="false"/>
                <w:i/>
                <w:iCs/>
                <w:color w:val="auto"/>
                <w:spacing w:val="-2"/>
                <w:sz w:val="28"/>
                <w:szCs w:val="28"/>
                <w:u w:val="none"/>
                <w:lang w:eastAsia="ru-RU"/>
              </w:rPr>
              <w:t>громадянства України та відсутність громадянства інших держав.</w:t>
            </w:r>
          </w:p>
          <w:p>
            <w:pPr>
              <w:pStyle w:val="Normal"/>
              <w:spacing w:lineRule="auto" w:line="240"/>
              <w:ind w:hanging="0" w:right="101"/>
              <w:jc w:val="center"/>
              <w:rPr>
                <w:b/>
                <w:bCs w:val="false"/>
                <w:i/>
                <w:iCs/>
                <w:color w:val="auto"/>
                <w:spacing w:val="-2"/>
                <w:sz w:val="28"/>
                <w:szCs w:val="28"/>
                <w:u w:val="none"/>
                <w:lang w:eastAsia="ru-RU"/>
              </w:rPr>
            </w:pPr>
            <w:r>
              <w:rPr>
                <w:b/>
                <w:bCs w:val="false"/>
                <w:i/>
                <w:iCs/>
                <w:color w:val="auto"/>
                <w:spacing w:val="-2"/>
                <w:sz w:val="28"/>
                <w:szCs w:val="28"/>
                <w:u w:val="none"/>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Освіта</w:t>
            </w:r>
          </w:p>
        </w:tc>
        <w:tc>
          <w:tcPr>
            <w:tcW w:w="623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pPr>
            <w:r>
              <w:rPr>
                <w:rStyle w:val="rvts0"/>
                <w:sz w:val="28"/>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Досвід роботи</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sz w:val="28"/>
                <w:szCs w:val="28"/>
              </w:rPr>
            </w:pPr>
            <w:r>
              <w:rPr>
                <w:sz w:val="28"/>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3.</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Володіння державною мовою</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Вимоги до компетентності</w:t>
            </w:r>
          </w:p>
        </w:tc>
      </w:tr>
      <w:tr>
        <w:trPr>
          <w:trHeight w:val="437" w:hRule="atLeast"/>
        </w:trPr>
        <w:tc>
          <w:tcPr>
            <w:tcW w:w="3529"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Вимога</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0"/>
              <w:jc w:val="center"/>
              <w:rPr>
                <w:sz w:val="28"/>
                <w:szCs w:val="28"/>
              </w:rPr>
            </w:pPr>
            <w:r>
              <w:rPr>
                <w:b/>
                <w:sz w:val="28"/>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1.</w:t>
            </w:r>
          </w:p>
        </w:tc>
        <w:tc>
          <w:tcPr>
            <w:tcW w:w="2946" w:type="dxa"/>
            <w:tcBorders>
              <w:top w:val="single" w:sz="4" w:space="0" w:color="000000"/>
              <w:left w:val="single" w:sz="4" w:space="0" w:color="000000"/>
              <w:bottom w:val="single" w:sz="4" w:space="0" w:color="000000"/>
              <w:right w:val="single" w:sz="4" w:space="0" w:color="000000"/>
            </w:tcBorders>
          </w:tcPr>
          <w:p>
            <w:pPr>
              <w:pStyle w:val="Normal"/>
              <w:ind w:hanging="0"/>
              <w:jc w:val="left"/>
              <w:rPr>
                <w:sz w:val="28"/>
                <w:szCs w:val="28"/>
              </w:rPr>
            </w:pPr>
            <w:r>
              <w:rPr>
                <w:color w:val="000000"/>
                <w:sz w:val="28"/>
                <w:szCs w:val="28"/>
              </w:rPr>
              <w:t>Якісне виконання поставлених завдань</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 xml:space="preserve"> </w:t>
            </w:r>
            <w:r>
              <w:rPr>
                <w:color w:val="000000"/>
                <w:sz w:val="28"/>
                <w:szCs w:val="28"/>
              </w:rPr>
              <w:t>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2.</w:t>
            </w:r>
          </w:p>
        </w:tc>
        <w:tc>
          <w:tcPr>
            <w:tcW w:w="2946" w:type="dxa"/>
            <w:tcBorders>
              <w:top w:val="single" w:sz="4" w:space="0" w:color="000000"/>
              <w:left w:val="single" w:sz="4" w:space="0" w:color="000000"/>
              <w:bottom w:val="single" w:sz="4" w:space="0" w:color="000000"/>
              <w:right w:val="single" w:sz="4" w:space="0" w:color="000000"/>
            </w:tcBorders>
          </w:tcPr>
          <w:p>
            <w:pPr>
              <w:pStyle w:val="Normal"/>
              <w:ind w:hanging="0" w:left="32" w:right="106"/>
              <w:rPr>
                <w:sz w:val="28"/>
                <w:szCs w:val="28"/>
              </w:rPr>
            </w:pPr>
            <w:r>
              <w:rPr>
                <w:color w:val="000000"/>
                <w:sz w:val="28"/>
                <w:szCs w:val="28"/>
              </w:rPr>
              <w:t>Відповідальність, командна робота та взаємодія</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sz w:val="28"/>
                <w:szCs w:val="28"/>
              </w:rPr>
            </w:pPr>
            <w:r>
              <w:rPr>
                <w:sz w:val="28"/>
                <w:szCs w:val="28"/>
              </w:rPr>
              <w:t xml:space="preserve">вміння працювати в </w:t>
            </w:r>
            <w:r>
              <w:rPr>
                <w:color w:val="000000"/>
                <w:sz w:val="28"/>
                <w:szCs w:val="28"/>
              </w:rPr>
              <w:t>команді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3.</w:t>
            </w:r>
          </w:p>
        </w:tc>
        <w:tc>
          <w:tcPr>
            <w:tcW w:w="2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sz w:val="28"/>
                <w:szCs w:val="28"/>
              </w:rPr>
            </w:pPr>
            <w:r>
              <w:rPr>
                <w:bCs/>
                <w:sz w:val="28"/>
                <w:szCs w:val="28"/>
              </w:rPr>
              <w:t>Аналітичні здібності та обґрунтування власної позиції</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 xml:space="preserve"> </w:t>
            </w:r>
            <w:r>
              <w:rPr>
                <w:color w:val="000000"/>
                <w:sz w:val="28"/>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 w:val="28"/>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8"/>
                <w:szCs w:val="28"/>
              </w:rPr>
            </w:pPr>
            <w:r>
              <w:rPr>
                <w:b/>
                <w:sz w:val="28"/>
                <w:szCs w:val="28"/>
              </w:rPr>
              <w:t>Професійні знання</w:t>
            </w:r>
          </w:p>
        </w:tc>
      </w:tr>
      <w:tr>
        <w:trPr>
          <w:trHeight w:val="255" w:hRule="atLeast"/>
        </w:trPr>
        <w:tc>
          <w:tcPr>
            <w:tcW w:w="3544" w:type="dxa"/>
            <w:gridSpan w:val="4"/>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
                <w:bCs/>
                <w:color w:val="auto"/>
                <w:sz w:val="28"/>
                <w:szCs w:val="28"/>
                <w:lang w:eastAsia="ru-RU"/>
              </w:rPr>
              <w:t>Вимога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rPr>
                <w:sz w:val="28"/>
                <w:szCs w:val="28"/>
              </w:rPr>
            </w:pPr>
            <w:r>
              <w:rPr>
                <w:b/>
                <w:sz w:val="28"/>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1.</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Знання законодавства</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 w:val="28"/>
                <w:szCs w:val="28"/>
              </w:rPr>
            </w:pPr>
            <w:r>
              <w:rPr>
                <w:sz w:val="28"/>
                <w:szCs w:val="28"/>
              </w:rPr>
              <w:t>Знання:</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 w:val="28"/>
                <w:szCs w:val="28"/>
              </w:rPr>
            </w:pPr>
            <w:r>
              <w:rPr>
                <w:color w:val="000000"/>
                <w:sz w:val="28"/>
                <w:szCs w:val="28"/>
              </w:rPr>
              <w:t>Закону України «Про захист персональних даних».</w:t>
            </w:r>
          </w:p>
        </w:tc>
      </w:tr>
      <w:tr>
        <w:trPr>
          <w:trHeight w:val="673"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2.</w:t>
            </w:r>
          </w:p>
        </w:tc>
        <w:tc>
          <w:tcPr>
            <w:tcW w:w="3006" w:type="dxa"/>
            <w:gridSpan w:val="3"/>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Cs/>
                <w:color w:val="auto"/>
                <w:sz w:val="28"/>
                <w:szCs w:val="28"/>
                <w:lang w:eastAsia="ru-RU"/>
              </w:rPr>
              <w:t>Знання законодавства у сфері</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23.08.2017 № 640 «Про затвердження Порядку проведення оцінювання результатів службової діяльності державних службовців»;</w:t>
            </w:r>
          </w:p>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06.02.2019 № 106 «Про затвердження Положення про систему професійного навчання державних службовці, голів місцевих державних адміністрацій,  їх перших заступників та заступників, посадових осіб  місцевого самоврядування та депутатських місцевих рад»;</w:t>
            </w:r>
          </w:p>
          <w:p>
            <w:pPr>
              <w:pStyle w:val="ListParagraph"/>
              <w:widowControl w:val="false"/>
              <w:numPr>
                <w:ilvl w:val="0"/>
                <w:numId w:val="2"/>
              </w:numPr>
              <w:tabs>
                <w:tab w:val="clear" w:pos="720"/>
                <w:tab w:val="left" w:pos="162" w:leader="none"/>
              </w:tabs>
              <w:suppressAutoHyphens w:val="false"/>
              <w:spacing w:lineRule="auto" w:line="240"/>
              <w:ind w:hanging="20" w:left="20" w:right="-80"/>
              <w:rPr>
                <w:sz w:val="28"/>
                <w:szCs w:val="28"/>
              </w:rPr>
            </w:pPr>
            <w:r>
              <w:rPr>
                <w:color w:val="000000"/>
                <w:sz w:val="28"/>
                <w:szCs w:val="28"/>
              </w:rPr>
              <w:t>постанови Кабінету Міністрів України від 25.03.2016 № 246 «Про затвердження Порядку проведення конкурсу на зайняття посад державної служби».</w:t>
            </w:r>
          </w:p>
        </w:tc>
      </w:tr>
    </w:tbl>
    <w:p>
      <w:pPr>
        <w:pStyle w:val="Style25"/>
        <w:jc w:val="center"/>
        <w:rPr>
          <w:sz w:val="28"/>
          <w:szCs w:val="28"/>
        </w:rPr>
      </w:pPr>
      <w:bookmarkStart w:id="3" w:name="_Hlk218505826"/>
      <w:r>
        <w:rPr>
          <w:bCs/>
          <w:sz w:val="28"/>
          <w:szCs w:val="28"/>
        </w:rPr>
        <w:t>______________________</w:t>
      </w:r>
      <w:bookmarkEnd w:id="3"/>
    </w:p>
    <w:p>
      <w:pPr>
        <w:pStyle w:val="Style25"/>
        <w:ind w:hanging="0"/>
        <w:rPr>
          <w:bCs/>
          <w:sz w:val="28"/>
          <w:szCs w:val="28"/>
        </w:rPr>
      </w:pPr>
      <w:r>
        <w:rPr>
          <w:bCs/>
          <w:sz w:val="28"/>
          <w:szCs w:val="28"/>
        </w:rPr>
      </w:r>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27,4927" stroked="t" o:allowincell="f" style="position:absolute;margin-left:-140.25pt;margin-top:-140.25pt;width:139.6pt;height:139.6pt;mso-wrap-style:none;v-text-anchor:middle;mso-position-horizontal:center;mso-position-horizontal-relative:margin" path="m4926,4926l0,4926l0,0l4926,0l4926,4926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FollowedHyperlink">
    <w:name w:val="FollowedHyperlink"/>
    <w:rPr>
      <w:color w:val="800000"/>
      <w:u w:val="single"/>
    </w:rPr>
  </w:style>
  <w:style w:type="character" w:styleId="Style19">
    <w:name w:val="Символи кінцевої виноски"/>
    <w:qFormat/>
    <w:rPr/>
  </w:style>
  <w:style w:type="character" w:styleId="Style20">
    <w:name w:val="Символи виноски"/>
    <w:qFormat/>
    <w:rPr/>
  </w:style>
  <w:style w:type="character" w:styleId="Style21">
    <w:name w:val="Підзаголовок Знак"/>
    <w:basedOn w:val="DefaultParagraphFont"/>
    <w:qFormat/>
    <w:rPr>
      <w:b/>
      <w:sz w:val="28"/>
    </w:rPr>
  </w:style>
  <w:style w:type="paragraph" w:styleId="Style22" w:customStyle="1">
    <w:name w:val="Заголовок"/>
    <w:basedOn w:val="Normal"/>
    <w:next w:val="BodyText"/>
    <w:qFormat/>
    <w:rsid w:val="001419e7"/>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3" w:customStyle="1">
    <w:name w:val="Покажчик"/>
    <w:basedOn w:val="Normal"/>
    <w:qFormat/>
    <w:rsid w:val="001419e7"/>
    <w:pPr>
      <w:suppressLineNumbers/>
    </w:pPr>
    <w:rPr>
      <w:rFonts w:cs="Lucida Sans"/>
    </w:rPr>
  </w:style>
  <w:style w:type="paragraph" w:styleId="user" w:customStyle="1">
    <w:name w:val="Заголовок (user)"/>
    <w:basedOn w:val="Normal"/>
    <w:next w:val="BodyText"/>
    <w:qFormat/>
    <w:rsid w:val="00064349"/>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064349"/>
    <w:pPr>
      <w:suppressLineNumbers/>
    </w:pPr>
    <w:rPr>
      <w:rFonts w:cs="Lucida Sans"/>
    </w:rPr>
  </w:style>
  <w:style w:type="paragraph" w:styleId="user2" w:customStyle="1">
    <w:name w:val="Верхній і нижній колонтитули (user)"/>
    <w:basedOn w:val="Normal"/>
    <w:qFormat/>
    <w:rsid w:val="001419e7"/>
    <w:pPr/>
    <w:rPr/>
  </w:style>
  <w:style w:type="paragraph" w:styleId="Style24" w:customStyle="1">
    <w:name w:val="Верхній і нижній колонтитули"/>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5" w:customStyle="1">
    <w:name w:val="Нормальний текст"/>
    <w:basedOn w:val="Normal"/>
    <w:qFormat/>
    <w:rsid w:val="00a0742f"/>
    <w:pPr>
      <w:spacing w:before="120" w:after="0"/>
      <w:ind w:firstLine="567"/>
    </w:pPr>
    <w:rPr/>
  </w:style>
  <w:style w:type="paragraph" w:styleId="Style26"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7" w:customStyle="1">
    <w:name w:val="Глава документу"/>
    <w:basedOn w:val="Normal"/>
    <w:next w:val="Normal"/>
    <w:qFormat/>
    <w:rsid w:val="00a0742f"/>
    <w:pPr>
      <w:keepNext w:val="true"/>
      <w:keepLines/>
      <w:spacing w:before="120" w:after="120"/>
      <w:jc w:val="center"/>
    </w:pPr>
    <w:rPr/>
  </w:style>
  <w:style w:type="paragraph" w:styleId="Style28" w:customStyle="1">
    <w:name w:val="Герб"/>
    <w:basedOn w:val="Normal"/>
    <w:qFormat/>
    <w:rsid w:val="00a0742f"/>
    <w:pPr>
      <w:keepNext w:val="true"/>
      <w:keepLines/>
      <w:jc w:val="center"/>
    </w:pPr>
    <w:rPr>
      <w:sz w:val="144"/>
      <w:lang w:val="en-US"/>
    </w:rPr>
  </w:style>
  <w:style w:type="paragraph" w:styleId="Style29" w:customStyle="1">
    <w:name w:val="Установа"/>
    <w:basedOn w:val="Normal"/>
    <w:qFormat/>
    <w:rsid w:val="00a0742f"/>
    <w:pPr>
      <w:keepNext w:val="true"/>
      <w:keepLines/>
      <w:spacing w:before="120" w:after="0"/>
      <w:jc w:val="center"/>
    </w:pPr>
    <w:rPr>
      <w:b/>
      <w:sz w:val="40"/>
    </w:rPr>
  </w:style>
  <w:style w:type="paragraph" w:styleId="Style30" w:customStyle="1">
    <w:name w:val="Вид документа"/>
    <w:basedOn w:val="Style29"/>
    <w:next w:val="Normal"/>
    <w:qFormat/>
    <w:rsid w:val="00a0742f"/>
    <w:pPr>
      <w:spacing w:before="360" w:after="240"/>
    </w:pPr>
    <w:rPr>
      <w:spacing w:val="20"/>
      <w:sz w:val="26"/>
    </w:rPr>
  </w:style>
  <w:style w:type="paragraph" w:styleId="Style31" w:customStyle="1">
    <w:name w:val="Час та місце"/>
    <w:basedOn w:val="Normal"/>
    <w:qFormat/>
    <w:rsid w:val="00a0742f"/>
    <w:pPr>
      <w:keepNext w:val="true"/>
      <w:keepLines/>
      <w:spacing w:before="120" w:after="240"/>
      <w:jc w:val="center"/>
    </w:pPr>
    <w:rPr/>
  </w:style>
  <w:style w:type="paragraph" w:styleId="Style32" w:customStyle="1">
    <w:name w:val="Назва документа"/>
    <w:basedOn w:val="Normal"/>
    <w:next w:val="Style25"/>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Style33" w:customStyle="1">
    <w:name w:val="Вміст рамки"/>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user3" w:customStyle="1">
    <w:name w:val="Вміст рамки (user)"/>
    <w:basedOn w:val="Normal"/>
    <w:qFormat/>
    <w:rsid w:val="00064349"/>
    <w:pPr/>
    <w:rPr/>
  </w:style>
  <w:style w:type="paragraph" w:styleId="Style34" w:customStyle="1">
    <w:name w:val="Вміст таблиці"/>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user4" w:customStyle="1">
    <w:name w:val="Верхній колонтитул ліворуч (user)"/>
    <w:basedOn w:val="Header"/>
    <w:qFormat/>
    <w:rsid w:val="00064349"/>
    <w:pPr>
      <w:suppressLineNumbers/>
      <w:tabs>
        <w:tab w:val="clear" w:pos="4153"/>
        <w:tab w:val="clear" w:pos="8306"/>
        <w:tab w:val="center" w:pos="4890" w:leader="none"/>
        <w:tab w:val="right" w:pos="9781" w:leader="none"/>
      </w:tabs>
    </w:pPr>
    <w:rPr/>
  </w:style>
  <w:style w:type="paragraph" w:styleId="Style35"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name w:val="Вміст таблиці (user)"/>
    <w:basedOn w:val="Normal"/>
    <w:qFormat/>
    <w:pPr>
      <w:widowControl w:val="false"/>
      <w:suppressLineNumbers/>
    </w:pPr>
    <w:rPr/>
  </w:style>
  <w:style w:type="paragraph" w:styleId="user6">
    <w:name w:val="Заголовок таблиці (user)"/>
    <w:basedOn w:val="user5"/>
    <w:qFormat/>
    <w:pPr>
      <w:suppressLineNumbers/>
      <w:jc w:val="center"/>
    </w:pPr>
    <w:rPr>
      <w:b/>
      <w:bCs/>
    </w:rPr>
  </w:style>
  <w:style w:type="paragraph" w:styleId="Style36">
    <w:name w:val="Зміст списку"/>
    <w:basedOn w:val="Normal"/>
    <w:qFormat/>
    <w:pPr>
      <w:ind w:left="567"/>
    </w:pPr>
    <w:rPr/>
  </w:style>
  <w:style w:type="paragraph" w:styleId="Style37">
    <w:name w:val="Верхній колонтитул ліворуч"/>
    <w:basedOn w:val="Header"/>
    <w:qFormat/>
    <w:pPr>
      <w:suppressLineNumbers/>
      <w:tabs>
        <w:tab w:val="clear" w:pos="4153"/>
        <w:tab w:val="clear" w:pos="8306"/>
        <w:tab w:val="center" w:pos="4890" w:leader="none"/>
        <w:tab w:val="right" w:pos="9781" w:leader="none"/>
      </w:tabs>
    </w:pPr>
    <w:rPr/>
  </w:style>
  <w:style w:type="paragraph" w:styleId="Style38">
    <w:name w:val="Заголовок таблиці"/>
    <w:basedOn w:val="Style34"/>
    <w:qFormat/>
    <w:pPr>
      <w:jc w:val="center"/>
    </w:pPr>
    <w:rPr>
      <w:b/>
      <w:bCs/>
    </w:rPr>
  </w:style>
  <w:style w:type="numbering" w:styleId="user7" w:customStyle="1">
    <w:name w:val="Без маркерів (user)"/>
    <w:uiPriority w:val="99"/>
    <w:semiHidden/>
    <w:unhideWhenUsed/>
    <w:qFormat/>
    <w:rsid w:val="00064349"/>
  </w:style>
  <w:style w:type="numbering" w:styleId="Style39" w:customStyle="1">
    <w:name w:val="Без маркерів"/>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7">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F9D5-51D2-4637-8358-4B2907E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Application>LibreOffice/26.2.0.3$Windows_X86_64 LibreOffice_project/620$Build-3</Application>
  <AppVersion>15.0000</AppVersion>
  <Pages>4</Pages>
  <Words>732</Words>
  <Characters>5140</Characters>
  <CharactersWithSpaces>5795</CharactersWithSpaces>
  <Paragraphs>69</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2020-07-03T07:18:00Z</cp:lastPrinted>
  <dcterms:modified xsi:type="dcterms:W3CDTF">2026-09-02T17:19:13Z</dcterms:modified>
  <cp:revision>105</cp:revision>
  <dc:subject/>
  <dc:title>£</dc:title>
</cp:coreProperties>
</file>

<file path=docProps/custom.xml><?xml version="1.0" encoding="utf-8"?>
<Properties xmlns="http://schemas.openxmlformats.org/officeDocument/2006/custom-properties" xmlns:vt="http://schemas.openxmlformats.org/officeDocument/2006/docPropsVTypes"/>
</file>