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sz w:val="26"/>
          <w:szCs w:val="26"/>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державної служби категорії “В”- </w:t>
      </w:r>
      <w:r>
        <w:rPr>
          <w:rFonts w:eastAsia="Times New Roman" w:cs="Times New Roman"/>
          <w:b w:val="false"/>
          <w:bCs w:val="false"/>
          <w:i w:val="false"/>
          <w:iCs w:val="false"/>
          <w:strike w:val="false"/>
          <w:dstrike w:val="false"/>
          <w:outline w:val="false"/>
          <w:shadow w:val="false"/>
          <w:color w:val="000000"/>
          <w:kern w:val="2"/>
          <w:sz w:val="26"/>
          <w:szCs w:val="26"/>
          <w:u w:val="none"/>
          <w:shd w:fill="FFFFFF" w:val="clear"/>
          <w:lang w:val="uk-UA" w:eastAsia="zh-CN" w:bidi="ar-SA"/>
        </w:rPr>
        <w:t>г</w:t>
      </w:r>
      <w:r>
        <w:rPr>
          <w:b w:val="false"/>
          <w:bCs w:val="false"/>
          <w:color w:val="000000"/>
          <w:sz w:val="26"/>
          <w:szCs w:val="26"/>
        </w:rPr>
        <w:t xml:space="preserve">оловного </w:t>
      </w:r>
      <w:r>
        <w:rPr>
          <w:rFonts w:eastAsia="Times New Roman" w:cs="Times New Roman"/>
          <w:b w:val="false"/>
          <w:bCs w:val="false"/>
          <w:i w:val="false"/>
          <w:iCs w:val="false"/>
          <w:strike w:val="false"/>
          <w:dstrike w:val="false"/>
          <w:outline w:val="false"/>
          <w:shadow w:val="false"/>
          <w:color w:val="000000"/>
          <w:sz w:val="26"/>
          <w:szCs w:val="26"/>
          <w:u w:val="none"/>
          <w:shd w:fill="FFFFFF" w:val="clear"/>
        </w:rPr>
        <w:t xml:space="preserve">спеціаліста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 xml:space="preserve">відділу обслуговування громадян № 7 (сервісний центр) Управління обслуговування громадян </w:t>
      </w:r>
    </w:p>
    <w:p>
      <w:pPr>
        <w:pStyle w:val="Normal"/>
        <w:suppressAutoHyphens w:val="true"/>
        <w:snapToGrid w:val="false"/>
        <w:jc w:val="center"/>
        <w:rPr>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 xml:space="preserve">(класифікаційний код посади </w:t>
      </w:r>
      <w:r>
        <w:rPr>
          <w:rFonts w:eastAsia="NSimSun" w:cs="Times New Roman"/>
          <w:b w:val="false"/>
          <w:bCs w:val="false"/>
          <w:color w:val="000000"/>
          <w:kern w:val="2"/>
          <w:sz w:val="26"/>
          <w:szCs w:val="26"/>
          <w:shd w:fill="auto" w:val="clear"/>
          <w:lang w:val="uk-UA" w:eastAsia="zh-CN" w:bidi="hi-IN"/>
        </w:rPr>
        <w:t>2-VІІІ</w:t>
      </w:r>
      <w:r>
        <w:rPr>
          <w:rFonts w:eastAsia="NSimSun" w:cs="Times New Roman"/>
          <w:b w:val="false"/>
          <w:bCs w:val="false"/>
          <w:color w:val="000000"/>
          <w:kern w:val="2"/>
          <w:sz w:val="26"/>
          <w:szCs w:val="26"/>
          <w:shd w:fill="auto" w:val="clear"/>
          <w:lang w:val="en-US" w:eastAsia="zh-CN" w:bidi="hi-IN"/>
        </w:rPr>
        <w:t>-</w:t>
      </w:r>
      <w:r>
        <w:rPr>
          <w:rFonts w:eastAsia="NSimSun" w:cs="Times New Roman"/>
          <w:b w:val="false"/>
          <w:bCs w:val="false"/>
          <w:color w:val="000000"/>
          <w:kern w:val="2"/>
          <w:sz w:val="26"/>
          <w:szCs w:val="26"/>
          <w:shd w:fill="auto" w:val="clear"/>
          <w:lang w:val="uk-UA" w:eastAsia="zh-CN" w:bidi="hi-IN"/>
        </w:rPr>
        <w:t>2,</w:t>
      </w:r>
      <w:r>
        <w:rPr>
          <w:b w:val="false"/>
          <w:bCs w:val="false"/>
          <w:color w:val="000000"/>
          <w:sz w:val="26"/>
          <w:szCs w:val="26"/>
          <w:lang w:val="uk-UA"/>
        </w:rPr>
        <w:t xml:space="preserve"> </w:t>
      </w:r>
      <w:r>
        <w:rPr>
          <w:b w:val="false"/>
          <w:bCs w:val="false"/>
          <w:color w:val="000000"/>
          <w:sz w:val="26"/>
          <w:szCs w:val="26"/>
        </w:rPr>
        <w:t>м. Луцьк</w:t>
      </w:r>
      <w:r>
        <w:rPr>
          <w:rFonts w:eastAsia="Times New Roman" w:cs="Times New Roman"/>
          <w:b w:val="false"/>
          <w:bCs w:val="false"/>
          <w:color w:val="000000"/>
          <w:sz w:val="26"/>
          <w:szCs w:val="26"/>
        </w:rPr>
        <w:t>, просп. Грушевського, 1</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9"/>
        <w:gridCol w:w="2961"/>
        <w:gridCol w:w="6185"/>
      </w:tblGrid>
      <w:tr>
        <w:trPr/>
        <w:tc>
          <w:tcPr>
            <w:tcW w:w="9705" w:type="dxa"/>
            <w:gridSpan w:val="3"/>
            <w:tcBorders>
              <w:top w:val="single" w:sz="2" w:space="0" w:color="000000"/>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Загальні умови</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Посадові обов'язки</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right="227" w:hanging="0"/>
              <w:jc w:val="both"/>
              <w:textAlignment w:val="baseline"/>
              <w:rPr>
                <w:sz w:val="26"/>
                <w:szCs w:val="26"/>
              </w:rPr>
            </w:pPr>
            <w:r>
              <w:rPr>
                <w:b w:val="false"/>
                <w:i w:val="false"/>
                <w:strike w:val="false"/>
                <w:dstrike w:val="false"/>
                <w:outline w:val="false"/>
                <w:shadow w:val="false"/>
                <w:color w:val="auto"/>
                <w:sz w:val="26"/>
                <w:szCs w:val="26"/>
                <w:u w:val="none"/>
                <w:em w:val="none"/>
              </w:rPr>
              <w:t xml:space="preserve"> </w:t>
            </w:r>
            <w:r>
              <w:rPr>
                <w:b w:val="false"/>
                <w:i w:val="false"/>
                <w:strike w:val="false"/>
                <w:dstrike w:val="false"/>
                <w:outline w:val="false"/>
                <w:shadow w:val="false"/>
                <w:color w:val="auto"/>
                <w:sz w:val="26"/>
                <w:szCs w:val="26"/>
                <w:u w:val="none"/>
                <w:em w:val="none"/>
              </w:rPr>
              <w:t xml:space="preserve">1) Здійснення обслуговування громадян стаціонарно, на виїзному прийомі (на віддалених робочих місцях), дистанційно, шляхом надання електронних послуг, надання в усній та письмовій формі консультації з питань застосування законодавства про пенсійне забезпечення, </w:t>
            </w:r>
            <w:r>
              <w:rPr>
                <w:b w:val="false"/>
                <w:i w:val="false"/>
                <w:strike w:val="false"/>
                <w:dstrike w:val="false"/>
                <w:outline w:val="false"/>
                <w:shadow w:val="false"/>
                <w:color w:val="FF0000"/>
                <w:sz w:val="26"/>
                <w:szCs w:val="26"/>
                <w:u w:val="none"/>
                <w:em w:val="none"/>
              </w:rPr>
              <w:t xml:space="preserve"> </w:t>
            </w:r>
            <w:r>
              <w:rPr>
                <w:b w:val="false"/>
                <w:i w:val="false"/>
                <w:strike w:val="false"/>
                <w:dstrike w:val="false"/>
                <w:outline w:val="false"/>
                <w:shadow w:val="false"/>
                <w:color w:val="auto"/>
                <w:sz w:val="26"/>
                <w:szCs w:val="26"/>
                <w:u w:val="none"/>
                <w:em w:val="none"/>
              </w:rPr>
              <w:t>ведення обліку осіб, що підлягають загальнообов’язковому державному соціальному страхуванню, роз’яснення їхніх прав, обов’язків і відповідний порядок сплати страхових внесків;</w:t>
            </w:r>
          </w:p>
          <w:p>
            <w:pPr>
              <w:pStyle w:val="Normal"/>
              <w:widowControl w:val="false"/>
              <w:suppressAutoHyphens w:val="true"/>
              <w:overflowPunct w:val="true"/>
              <w:bidi w:val="0"/>
              <w:spacing w:before="0" w:after="0"/>
              <w:ind w:left="57" w:right="283" w:firstLine="510"/>
              <w:jc w:val="both"/>
              <w:textAlignment w:val="baseline"/>
              <w:rPr>
                <w:sz w:val="26"/>
                <w:szCs w:val="26"/>
              </w:rPr>
            </w:pPr>
            <w:r>
              <w:rPr>
                <w:b w:val="false"/>
                <w:i w:val="false"/>
                <w:strike w:val="false"/>
                <w:dstrike w:val="false"/>
                <w:outline w:val="false"/>
                <w:shadow w:val="false"/>
                <w:color w:val="000000"/>
                <w:sz w:val="26"/>
                <w:szCs w:val="26"/>
                <w:u w:val="none"/>
                <w:em w:val="none"/>
              </w:rPr>
              <w:t>2) Забезпечення прийому заяв та документів для призначення (перерахунку) пенсій (в тому числі відповідних документів для розгляду на Комісії з питань встановлення стажу роботи показаннями свідків та  Комісії з питань підтвердження стажу роботи на посадах, що дають право на призначення пенсії на пільгових умовах або за вислугу років), щомісячного довічного грошового утримання суддям у відставці, заяв про призначення (перерахунок) на  надання житлових субсидій, пільг, страхових виплат, їх реєстрацію, а також прийому документів з питань виплати пенсій (виплату допомоги на поховання, недоотриманої пенсії з зв’язку із смертю пенсіонера, пенсії у разі виїзду заявника за кордон на постійне місце проживання, одноразових страхових виплат та ін), здійснення оформлення анкет на виготовлення пенсійних посвідчень та їх видача та довідок про доходи, про перебування (не перебування) на обліку, виписки з РЗО, витяги з реєстру судових рішень;</w:t>
            </w:r>
          </w:p>
          <w:p>
            <w:pPr>
              <w:pStyle w:val="Normal"/>
              <w:widowControl w:val="false"/>
              <w:suppressAutoHyphens w:val="true"/>
              <w:overflowPunct w:val="true"/>
              <w:bidi w:val="0"/>
              <w:spacing w:before="0" w:after="0"/>
              <w:ind w:left="57" w:right="227" w:firstLine="397"/>
              <w:jc w:val="both"/>
              <w:textAlignment w:val="baseline"/>
              <w:rPr>
                <w:sz w:val="26"/>
                <w:szCs w:val="26"/>
              </w:rPr>
            </w:pPr>
            <w:r>
              <w:rPr>
                <w:b w:val="false"/>
                <w:i w:val="false"/>
                <w:strike w:val="false"/>
                <w:dstrike w:val="false"/>
                <w:outline w:val="false"/>
                <w:shadow w:val="false"/>
                <w:color w:val="000000"/>
                <w:sz w:val="26"/>
                <w:szCs w:val="26"/>
                <w:u w:val="none"/>
                <w:em w:val="none"/>
              </w:rPr>
              <w:t>3) Забезпечення підготовки запитів щодо підтвердження стажу, заробітку та з інших питань, що стосуються призначення чи перерахунку пенсії на вимогу заявника, підприємств, установ та організацій, здійснення прийому документів від осіб, які набувають право на пенсію на території договірної сторони (міжнародні пенсії), визначення їх права на пенсійне забезпечення, при необхідності здійснення ініціювання проведення перевірок обґрунтованості видачі документів;</w:t>
            </w:r>
          </w:p>
          <w:p>
            <w:pPr>
              <w:pStyle w:val="Normal"/>
              <w:widowControl w:val="false"/>
              <w:suppressAutoHyphens w:val="true"/>
              <w:overflowPunct w:val="true"/>
              <w:bidi w:val="0"/>
              <w:spacing w:before="0" w:after="0"/>
              <w:ind w:left="57" w:right="227" w:firstLine="397"/>
              <w:jc w:val="both"/>
              <w:textAlignment w:val="baseline"/>
              <w:rPr>
                <w:sz w:val="26"/>
                <w:szCs w:val="26"/>
              </w:rPr>
            </w:pPr>
            <w:r>
              <w:rPr>
                <w:b w:val="false"/>
                <w:i w:val="false"/>
                <w:strike w:val="false"/>
                <w:dstrike w:val="false"/>
                <w:outline w:val="false"/>
                <w:shadow w:val="false"/>
                <w:color w:val="000000"/>
                <w:sz w:val="26"/>
                <w:szCs w:val="26"/>
                <w:u w:val="none"/>
                <w:em w:val="none"/>
              </w:rPr>
              <w:t>4) Здійснення звітності, реєстрації користувачів електронних послуг на вебпорталі, видачі кодів підтвердження та роз'яснення подальших дій для завершення процедури реєстрації на вебпорталі, забезпечення роботи “гарячих” телефонних ліній.</w:t>
            </w:r>
          </w:p>
        </w:tc>
      </w:tr>
      <w:tr>
        <w:trPr>
          <w:trHeight w:val="1312" w:hRule="atLeast"/>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Умови оплати праці</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57" w:right="57" w:firstLine="567"/>
              <w:jc w:val="both"/>
              <w:rPr>
                <w:sz w:val="26"/>
                <w:szCs w:val="26"/>
              </w:rPr>
            </w:pPr>
            <w:r>
              <w:rPr>
                <w:rFonts w:cs="Times New Roman"/>
                <w:sz w:val="26"/>
                <w:szCs w:val="26"/>
                <w:lang w:val="uk-UA"/>
              </w:rPr>
              <w:t>П</w:t>
            </w:r>
            <w:r>
              <w:rPr>
                <w:rFonts w:cs="Times New Roman"/>
                <w:sz w:val="26"/>
                <w:szCs w:val="26"/>
              </w:rPr>
              <w:t>осадовий оклад — 15996,00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113" w:right="113" w:firstLine="510"/>
              <w:jc w:val="both"/>
              <w:rPr>
                <w:sz w:val="26"/>
                <w:szCs w:val="26"/>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 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tc>
      </w:tr>
      <w:tr>
        <w:trPr/>
        <w:tc>
          <w:tcPr>
            <w:tcW w:w="3520" w:type="dxa"/>
            <w:gridSpan w:val="2"/>
            <w:tcBorders>
              <w:left w:val="single" w:sz="2" w:space="0" w:color="000000"/>
              <w:bottom w:val="single" w:sz="2" w:space="0" w:color="000000"/>
            </w:tcBorders>
          </w:tcPr>
          <w:p>
            <w:pPr>
              <w:pStyle w:val="Style19"/>
              <w:widowControl w:val="false"/>
              <w:suppressLineNumbers/>
              <w:suppressAutoHyphens w:val="true"/>
              <w:overflowPunct w:val="true"/>
              <w:bidi w:val="0"/>
              <w:spacing w:before="0" w:after="0"/>
              <w:ind w:left="0" w:right="0" w:hanging="57"/>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185" w:type="dxa"/>
            <w:tcBorders>
              <w:left w:val="single" w:sz="2" w:space="0" w:color="000000"/>
              <w:bottom w:val="single" w:sz="2" w:space="0" w:color="000000"/>
              <w:right w:val="single" w:sz="2" w:space="0" w:color="000000"/>
            </w:tcBorders>
          </w:tcPr>
          <w:p>
            <w:pPr>
              <w:pStyle w:val="Style25"/>
              <w:widowControl w:val="false"/>
              <w:suppressAutoHyphens w:val="true"/>
              <w:overflowPunct w:val="true"/>
              <w:bidi w:val="0"/>
              <w:spacing w:lineRule="auto" w:line="240" w:before="0" w:after="0"/>
              <w:ind w:left="0" w:right="57" w:firstLine="624"/>
              <w:jc w:val="both"/>
              <w:rPr>
                <w:sz w:val="26"/>
                <w:szCs w:val="26"/>
              </w:rPr>
            </w:pPr>
            <w:r>
              <w:rPr>
                <w:rFonts w:cs="Times New Roman"/>
                <w:bCs/>
                <w:sz w:val="26"/>
                <w:szCs w:val="26"/>
              </w:rPr>
              <w:t xml:space="preserve">Особа, яка бажає взяти участь у доборі, подає </w:t>
            </w:r>
            <w:r>
              <w:rPr>
                <w:rFonts w:eastAsia="Times New Roman" w:cs="Times New Roman"/>
                <w:bCs/>
                <w:color w:val="00000A"/>
                <w:kern w:val="0"/>
                <w:sz w:val="26"/>
                <w:szCs w:val="26"/>
                <w:lang w:val="uk-UA" w:eastAsia="zh-CN" w:bidi="ar-SA"/>
              </w:rPr>
              <w:t>Управлінню по роботі з персоналом</w:t>
            </w:r>
            <w:r>
              <w:rPr>
                <w:rFonts w:cs="Times New Roman"/>
                <w:bCs/>
                <w:sz w:val="26"/>
                <w:szCs w:val="26"/>
              </w:rPr>
              <w:t>:</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cs="Times New Roman"/>
                <w:bCs/>
                <w:color w:val="000000"/>
                <w:sz w:val="26"/>
                <w:szCs w:val="26"/>
                <w:highlight w:val="white"/>
              </w:rPr>
              <w:t>заяв</w:t>
            </w:r>
            <w:r>
              <w:rPr>
                <w:rFonts w:eastAsia="Times New Roman" w:cs="Times New Roman"/>
                <w:bCs/>
                <w:color w:val="000000"/>
                <w:kern w:val="0"/>
                <w:sz w:val="26"/>
                <w:szCs w:val="26"/>
                <w:highlight w:val="white"/>
                <w:lang w:val="uk-UA" w:eastAsia="zh-CN" w:bidi="ar-SA"/>
              </w:rPr>
              <w:t>у;</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eastAsia="Times New Roman" w:cs="Times New Roman"/>
                <w:bCs/>
                <w:color w:val="000000"/>
                <w:kern w:val="0"/>
                <w:sz w:val="26"/>
                <w:szCs w:val="26"/>
                <w:highlight w:val="white"/>
                <w:lang w:val="uk-UA" w:eastAsia="zh-CN" w:bidi="ar-SA"/>
              </w:rPr>
              <w:t>резюме;</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cs="Times New Roman"/>
                <w:bCs/>
                <w:color w:val="000000"/>
                <w:sz w:val="26"/>
                <w:szCs w:val="26"/>
                <w:highlight w:val="white"/>
              </w:rPr>
              <w:t>заповнен</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особов</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картк</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встановленого зразка;</w:t>
            </w:r>
          </w:p>
          <w:p>
            <w:pPr>
              <w:pStyle w:val="Style25"/>
              <w:widowControl w:val="false"/>
              <w:tabs>
                <w:tab w:val="clear" w:pos="720"/>
                <w:tab w:val="left" w:pos="0" w:leader="none"/>
                <w:tab w:val="left" w:pos="330" w:leader="none"/>
              </w:tabs>
              <w:suppressAutoHyphens w:val="true"/>
              <w:overflowPunct w:val="true"/>
              <w:bidi w:val="0"/>
              <w:spacing w:lineRule="auto" w:line="240" w:before="0" w:after="0"/>
              <w:ind w:left="57" w:right="0" w:firstLine="454"/>
              <w:jc w:val="both"/>
              <w:rPr>
                <w:sz w:val="26"/>
                <w:szCs w:val="26"/>
              </w:rPr>
            </w:pPr>
            <w:r>
              <w:rPr>
                <w:rFonts w:cs="Times New Roman"/>
                <w:bCs/>
                <w:color w:val="000000"/>
                <w:sz w:val="26"/>
                <w:szCs w:val="26"/>
                <w:highlight w:val="white"/>
              </w:rPr>
              <w:t>документ</w:t>
            </w:r>
            <w:r>
              <w:rPr>
                <w:rFonts w:eastAsia="Times New Roman" w:cs="Times New Roman"/>
                <w:bCs/>
                <w:color w:val="000000"/>
                <w:kern w:val="0"/>
                <w:sz w:val="26"/>
                <w:szCs w:val="26"/>
                <w:highlight w:val="white"/>
                <w:lang w:val="uk-UA" w:eastAsia="zh-CN" w:bidi="ar-SA"/>
              </w:rPr>
              <w:t>и</w:t>
            </w:r>
            <w:r>
              <w:rPr>
                <w:rFonts w:cs="Times New Roman"/>
                <w:bCs/>
                <w:color w:val="000000"/>
                <w:sz w:val="26"/>
                <w:szCs w:val="26"/>
                <w:highlight w:val="white"/>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Normal"/>
              <w:widowControl w:val="false"/>
              <w:tabs>
                <w:tab w:val="clear" w:pos="720"/>
                <w:tab w:val="left" w:pos="0" w:leader="none"/>
                <w:tab w:val="left" w:pos="330" w:leader="none"/>
              </w:tabs>
              <w:suppressAutoHyphens w:val="true"/>
              <w:overflowPunct w:val="true"/>
              <w:bidi w:val="0"/>
              <w:spacing w:lineRule="auto" w:line="240" w:before="0" w:after="0"/>
              <w:ind w:left="57" w:right="0" w:firstLine="454"/>
              <w:jc w:val="both"/>
              <w:rPr>
                <w:sz w:val="26"/>
                <w:szCs w:val="26"/>
              </w:rPr>
            </w:pPr>
            <w:r>
              <w:rPr>
                <w:rFonts w:eastAsia="Times New Roman" w:cs="Times New Roman"/>
                <w:bCs/>
                <w:color w:val="111111"/>
                <w:kern w:val="0"/>
                <w:sz w:val="26"/>
                <w:szCs w:val="26"/>
                <w:lang w:val="uk-UA" w:eastAsia="zh-CN" w:bidi="ar-SA"/>
              </w:rPr>
              <w:t>Документи</w:t>
            </w:r>
            <w:r>
              <w:rPr>
                <w:rFonts w:cs="Times New Roman"/>
                <w:bCs/>
                <w:color w:val="111111"/>
                <w:sz w:val="26"/>
                <w:szCs w:val="26"/>
              </w:rPr>
              <w:t xml:space="preserve"> прийма</w:t>
            </w:r>
            <w:r>
              <w:rPr>
                <w:rFonts w:eastAsia="Times New Roman" w:cs="Times New Roman"/>
                <w:bCs/>
                <w:color w:val="111111"/>
                <w:kern w:val="0"/>
                <w:sz w:val="26"/>
                <w:szCs w:val="26"/>
                <w:lang w:val="uk-UA" w:eastAsia="zh-CN" w:bidi="ar-SA"/>
              </w:rPr>
              <w:t>ю</w:t>
            </w:r>
            <w:r>
              <w:rPr>
                <w:rFonts w:cs="Times New Roman"/>
                <w:bCs/>
                <w:color w:val="111111"/>
                <w:sz w:val="26"/>
                <w:szCs w:val="26"/>
              </w:rPr>
              <w:t xml:space="preserve">ться </w:t>
            </w:r>
            <w:r>
              <w:rPr>
                <w:rFonts w:cs="Times New Roman"/>
                <w:bCs/>
                <w:color w:val="000000"/>
                <w:spacing w:val="-6"/>
                <w:sz w:val="26"/>
                <w:szCs w:val="26"/>
              </w:rPr>
              <w:t>до</w:t>
            </w:r>
            <w:r>
              <w:rPr>
                <w:rFonts w:eastAsia="Times New Roman" w:cs="Times New Roman"/>
                <w:bCs/>
                <w:color w:val="000000"/>
                <w:spacing w:val="-6"/>
                <w:sz w:val="26"/>
                <w:szCs w:val="26"/>
                <w:lang w:val="en-US"/>
              </w:rPr>
              <w:t>15</w:t>
            </w:r>
            <w:r>
              <w:rPr>
                <w:rFonts w:eastAsia="Times New Roman" w:cs="Times New Roman"/>
                <w:bCs/>
                <w:color w:val="000000"/>
                <w:spacing w:val="-6"/>
                <w:sz w:val="26"/>
                <w:szCs w:val="26"/>
              </w:rPr>
              <w:t>:45</w:t>
            </w:r>
            <w:r>
              <w:rPr>
                <w:rFonts w:cs="Times New Roman"/>
                <w:bCs/>
                <w:color w:val="000000"/>
                <w:spacing w:val="-6"/>
                <w:sz w:val="26"/>
                <w:szCs w:val="26"/>
              </w:rPr>
              <w:t xml:space="preserve"> години </w:t>
            </w:r>
            <w:r>
              <w:rPr>
                <w:rFonts w:eastAsia="Times New Roman" w:cs="Times New Roman"/>
                <w:bCs/>
                <w:color w:val="000000"/>
                <w:spacing w:val="-6"/>
                <w:sz w:val="26"/>
                <w:szCs w:val="26"/>
              </w:rPr>
              <w:t>21 лютого</w:t>
            </w:r>
            <w:r>
              <w:rPr>
                <w:rFonts w:cs="Times New Roman"/>
                <w:bCs/>
                <w:color w:val="000000"/>
                <w:spacing w:val="-6"/>
                <w:sz w:val="26"/>
                <w:szCs w:val="26"/>
              </w:rPr>
              <w:t xml:space="preserve"> 202</w:t>
            </w:r>
            <w:r>
              <w:rPr>
                <w:rFonts w:eastAsia="Times New Roman" w:cs="Times New Roman"/>
                <w:bCs/>
                <w:color w:val="000000"/>
                <w:spacing w:val="-6"/>
                <w:sz w:val="26"/>
                <w:szCs w:val="26"/>
              </w:rPr>
              <w:t>5</w:t>
            </w:r>
            <w:r>
              <w:rPr>
                <w:rFonts w:cs="Times New Roman"/>
                <w:bCs/>
                <w:color w:val="000000"/>
                <w:spacing w:val="-6"/>
                <w:sz w:val="26"/>
                <w:szCs w:val="26"/>
              </w:rPr>
              <w:t xml:space="preserve"> </w:t>
            </w:r>
            <w:r>
              <w:rPr>
                <w:rFonts w:cs="Times New Roman"/>
                <w:bCs/>
                <w:color w:val="C9211E"/>
                <w:spacing w:val="-6"/>
                <w:sz w:val="26"/>
                <w:szCs w:val="26"/>
              </w:rPr>
              <w:t xml:space="preserve"> </w:t>
            </w:r>
            <w:r>
              <w:rPr>
                <w:rFonts w:cs="Times New Roman"/>
                <w:bCs/>
                <w:color w:val="000000"/>
                <w:spacing w:val="-6"/>
                <w:sz w:val="26"/>
                <w:szCs w:val="26"/>
              </w:rPr>
              <w:t>року включно.</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0" w:right="113" w:firstLine="454"/>
              <w:jc w:val="both"/>
              <w:rPr>
                <w:sz w:val="26"/>
                <w:szCs w:val="26"/>
              </w:rPr>
            </w:pPr>
            <w:r>
              <w:rPr>
                <w:rFonts w:cs="Times New Roman"/>
                <w:b w:val="false"/>
                <w:bCs w:val="false"/>
                <w:color w:val="111111"/>
                <w:sz w:val="26"/>
                <w:szCs w:val="26"/>
              </w:rPr>
              <w:t xml:space="preserve">Співбесіда </w:t>
            </w:r>
            <w:r>
              <w:rPr>
                <w:rFonts w:eastAsia="Times New Roman" w:cs="Times New Roman"/>
                <w:b w:val="false"/>
                <w:bCs w:val="false"/>
                <w:i w:val="false"/>
                <w:iCs w:val="false"/>
                <w:strike w:val="false"/>
                <w:dstrike w:val="false"/>
                <w:outline w:val="false"/>
                <w:shadow w:val="false"/>
                <w:color w:val="111111"/>
                <w:sz w:val="26"/>
                <w:szCs w:val="26"/>
                <w:highlight w:val="white"/>
                <w:u w:val="none"/>
                <w:lang w:val="uk-UA" w:eastAsia="zh-CN" w:bidi="ar-SA"/>
              </w:rPr>
              <w:t xml:space="preserve"> </w:t>
            </w:r>
            <w:r>
              <w:rPr>
                <w:rFonts w:cs="Times New Roman"/>
                <w:b w:val="false"/>
                <w:bCs w:val="false"/>
                <w:color w:val="111111"/>
                <w:sz w:val="26"/>
                <w:szCs w:val="26"/>
              </w:rPr>
              <w:t xml:space="preserve">відбудеться </w:t>
            </w:r>
            <w:r>
              <w:rPr>
                <w:rFonts w:eastAsia="Times New Roman" w:cs="Times New Roman"/>
                <w:b w:val="false"/>
                <w:bCs w:val="false"/>
                <w:color w:val="000000"/>
                <w:kern w:val="0"/>
                <w:sz w:val="26"/>
                <w:szCs w:val="26"/>
                <w:lang w:val="uk-UA" w:eastAsia="zh-CN" w:bidi="ar-SA"/>
              </w:rPr>
              <w:t>24 лютого 2025</w:t>
            </w:r>
            <w:r>
              <w:rPr>
                <w:rFonts w:cs="Times New Roman"/>
                <w:color w:val="000000"/>
                <w:sz w:val="26"/>
                <w:szCs w:val="26"/>
              </w:rPr>
              <w:t xml:space="preserve"> року,</w:t>
            </w:r>
            <w:r>
              <w:rPr>
                <w:rFonts w:cs="Times New Roman"/>
                <w:color w:val="111111"/>
                <w:sz w:val="26"/>
                <w:szCs w:val="26"/>
              </w:rPr>
              <w:t xml:space="preserve"> за адресою </w:t>
            </w:r>
            <w:r>
              <w:rPr>
                <w:rFonts w:eastAsia="Times New Roman" w:cs="Times New Roman"/>
                <w:color w:val="auto"/>
                <w:sz w:val="26"/>
                <w:szCs w:val="26"/>
                <w:lang w:val="uk-UA" w:eastAsia="zh-CN" w:bidi="ar-SA"/>
              </w:rPr>
              <w:t xml:space="preserve">м. Луцьк, вул. Київський майдан, 6 </w:t>
            </w:r>
            <w:r>
              <w:rPr>
                <w:rFonts w:eastAsia="Times New Roman" w:cs="Times New Roman"/>
                <w:color w:val="000000"/>
                <w:sz w:val="26"/>
                <w:szCs w:val="26"/>
                <w:lang w:val="uk-UA" w:eastAsia="zh-CN" w:bidi="ar-SA"/>
              </w:rPr>
              <w:t xml:space="preserve">(проведення </w:t>
            </w:r>
            <w:r>
              <w:rPr>
                <w:rFonts w:eastAsia="Times New Roman" w:cs="Times New Roman"/>
                <w:color w:val="000000"/>
                <w:kern w:val="0"/>
                <w:sz w:val="26"/>
                <w:szCs w:val="26"/>
                <w:lang w:val="uk-UA" w:eastAsia="zh-CN" w:bidi="ar-SA"/>
              </w:rPr>
              <w:t>співбесіди</w:t>
            </w:r>
            <w:r>
              <w:rPr>
                <w:rFonts w:eastAsia="Times New Roman" w:cs="Times New Roman"/>
                <w:color w:val="000000"/>
                <w:sz w:val="26"/>
                <w:szCs w:val="26"/>
                <w:lang w:val="uk-UA" w:eastAsia="zh-CN" w:bidi="ar-SA"/>
              </w:rPr>
              <w:t xml:space="preserve"> за фізичної присутності кандидатів)</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227" w:right="227" w:hanging="227"/>
              <w:jc w:val="both"/>
              <w:rPr/>
            </w:pPr>
            <w:r>
              <w:rPr>
                <w:rFonts w:eastAsia="Times New Roman" w:cs="Times New Roman"/>
                <w:sz w:val="26"/>
                <w:szCs w:val="26"/>
              </w:rPr>
              <w:t>Левчук Володимир Михайлович,</w:t>
            </w:r>
          </w:p>
          <w:p>
            <w:pPr>
              <w:pStyle w:val="Normal"/>
              <w:widowControl w:val="false"/>
              <w:suppressAutoHyphens w:val="true"/>
              <w:overflowPunct w:val="true"/>
              <w:bidi w:val="0"/>
              <w:spacing w:lineRule="auto" w:line="240" w:before="0" w:after="0"/>
              <w:ind w:left="227" w:right="227" w:hanging="227"/>
              <w:jc w:val="both"/>
              <w:rPr/>
            </w:pPr>
            <w:r>
              <w:rPr>
                <w:rFonts w:eastAsia="Times New Roman" w:cs="Times New Roman"/>
                <w:sz w:val="26"/>
                <w:szCs w:val="26"/>
              </w:rPr>
              <w:t>Федорова Ася Феофанів</w:t>
            </w:r>
          </w:p>
          <w:p>
            <w:pPr>
              <w:pStyle w:val="Normal"/>
              <w:widowControl w:val="false"/>
              <w:spacing w:lineRule="auto" w:line="240"/>
              <w:ind w:right="170" w:hanging="0"/>
              <w:jc w:val="both"/>
              <w:rPr>
                <w:sz w:val="26"/>
                <w:szCs w:val="26"/>
              </w:rPr>
            </w:pPr>
            <w:r>
              <w:rPr>
                <w:rFonts w:eastAsia="Times New Roman" w:cs="Times New Roman"/>
                <w:sz w:val="26"/>
                <w:szCs w:val="26"/>
              </w:rPr>
              <w:t>28-10-35</w:t>
            </w:r>
          </w:p>
          <w:p>
            <w:pPr>
              <w:pStyle w:val="Normal"/>
              <w:widowControl w:val="false"/>
              <w:suppressAutoHyphens w:val="true"/>
              <w:overflowPunct w:val="true"/>
              <w:bidi w:val="0"/>
              <w:spacing w:lineRule="auto" w:line="240" w:before="0" w:after="0"/>
              <w:ind w:right="170" w:hanging="0"/>
              <w:jc w:val="both"/>
              <w:rPr>
                <w:sz w:val="26"/>
                <w:szCs w:val="26"/>
              </w:rPr>
            </w:pPr>
            <w:r>
              <w:rPr>
                <w:rFonts w:eastAsia="Times New Roman" w:cs="Times New Roman"/>
                <w:color w:val="00000A"/>
                <w:kern w:val="0"/>
                <w:sz w:val="26"/>
                <w:szCs w:val="26"/>
                <w:lang w:val="uk-UA" w:eastAsia="zh-CN" w:bidi="ar-SA"/>
              </w:rPr>
              <w:t>28-10-62</w:t>
            </w:r>
          </w:p>
          <w:p>
            <w:pPr>
              <w:pStyle w:val="Normal"/>
              <w:widowControl w:val="false"/>
              <w:spacing w:lineRule="auto" w:line="240" w:before="0" w:after="0"/>
              <w:ind w:left="0" w:right="0" w:hanging="0"/>
              <w:jc w:val="both"/>
              <w:rPr/>
            </w:pPr>
            <w:r>
              <w:rPr>
                <w:rFonts w:eastAsia="Times New Roman" w:cs="Times New Roman"/>
                <w:color w:val="000000"/>
                <w:kern w:val="0"/>
                <w:sz w:val="26"/>
                <w:szCs w:val="26"/>
                <w:shd w:fill="FFFFFF" w:val="clear"/>
                <w:lang w:val="en-US" w:eastAsia="zh-CN" w:bidi="ar-SA"/>
              </w:rPr>
              <w:t xml:space="preserve">E-mail: </w:t>
            </w:r>
            <w:hyperlink r:id="rId2">
              <w:r>
                <w:rPr>
                  <w:rStyle w:val="Style7"/>
                  <w:rFonts w:eastAsia="Times New Roman" w:cs="Times New Roman"/>
                  <w:kern w:val="0"/>
                  <w:sz w:val="26"/>
                  <w:szCs w:val="26"/>
                  <w:highlight w:val="white"/>
                  <w:lang w:val="en-US"/>
                </w:rPr>
                <w:t>personal@vl.pfu.gov.ua</w:t>
              </w:r>
            </w:hyperlink>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sz w:val="26"/>
                <w:szCs w:val="26"/>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Освіта</w:t>
            </w:r>
          </w:p>
        </w:tc>
        <w:tc>
          <w:tcPr>
            <w:tcW w:w="6185" w:type="dxa"/>
            <w:tcBorders>
              <w:left w:val="single" w:sz="2" w:space="0" w:color="000000"/>
              <w:bottom w:val="single" w:sz="2" w:space="0" w:color="000000"/>
              <w:right w:val="single" w:sz="2" w:space="0" w:color="000000"/>
            </w:tcBorders>
          </w:tcPr>
          <w:p>
            <w:pPr>
              <w:pStyle w:val="Normal"/>
              <w:widowControl w:val="false"/>
              <w:shd w:val="clear" w:fill="FFFFFF"/>
              <w:tabs>
                <w:tab w:val="clear" w:pos="720"/>
                <w:tab w:val="left" w:pos="823" w:leader="none"/>
                <w:tab w:val="left" w:pos="8221" w:leader="none"/>
              </w:tabs>
              <w:suppressAutoHyphens w:val="true"/>
              <w:overflowPunct w:val="true"/>
              <w:bidi w:val="0"/>
              <w:spacing w:lineRule="exact" w:line="302" w:before="15" w:after="150"/>
              <w:ind w:left="113" w:right="113" w:firstLine="283"/>
              <w:jc w:val="both"/>
              <w:rPr/>
            </w:pPr>
            <w:r>
              <w:rPr>
                <w:rStyle w:val="CharStyle7"/>
                <w:sz w:val="26"/>
                <w:szCs w:val="26"/>
              </w:rPr>
              <w:t>вища освіта за освітнім ступенем не нижче бакалавра, молодшого бакалавра</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Досвід роботи</w:t>
            </w:r>
          </w:p>
        </w:tc>
        <w:tc>
          <w:tcPr>
            <w:tcW w:w="6185" w:type="dxa"/>
            <w:tcBorders>
              <w:left w:val="single" w:sz="2" w:space="0" w:color="000000"/>
              <w:bottom w:val="single" w:sz="2" w:space="0" w:color="000000"/>
              <w:right w:val="single" w:sz="2" w:space="0" w:color="000000"/>
            </w:tcBorders>
          </w:tcPr>
          <w:p>
            <w:pPr>
              <w:pStyle w:val="Style19"/>
              <w:widowControl w:val="false"/>
              <w:suppressLineNumbers/>
              <w:tabs>
                <w:tab w:val="clear" w:pos="720"/>
                <w:tab w:val="left" w:pos="390" w:leader="none"/>
              </w:tabs>
              <w:suppressAutoHyphens w:val="true"/>
              <w:overflowPunct w:val="true"/>
              <w:bidi w:val="0"/>
              <w:spacing w:before="0" w:after="0"/>
              <w:ind w:left="624" w:right="624" w:hanging="170"/>
              <w:jc w:val="both"/>
              <w:rPr>
                <w:sz w:val="26"/>
                <w:szCs w:val="26"/>
              </w:rPr>
            </w:pPr>
            <w:r>
              <w:rPr>
                <w:sz w:val="26"/>
                <w:szCs w:val="26"/>
              </w:rPr>
              <w:t xml:space="preserve">без </w:t>
            </w:r>
            <w:r>
              <w:rPr>
                <w:rFonts w:eastAsia="Times New Roman" w:cs="Times New Roman"/>
                <w:color w:val="00000A"/>
                <w:kern w:val="0"/>
                <w:sz w:val="26"/>
                <w:szCs w:val="26"/>
                <w:lang w:val="uk-UA" w:eastAsia="zh-CN" w:bidi="ar-SA"/>
              </w:rPr>
              <w:t>вимог до досвіду роботи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3.</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Володіння державною мовою</w:t>
            </w:r>
          </w:p>
        </w:tc>
        <w:tc>
          <w:tcPr>
            <w:tcW w:w="6185" w:type="dxa"/>
            <w:tcBorders>
              <w:left w:val="single" w:sz="2" w:space="0" w:color="000000"/>
              <w:bottom w:val="single" w:sz="2" w:space="0" w:color="000000"/>
              <w:right w:val="single" w:sz="2" w:space="0" w:color="000000"/>
            </w:tcBorders>
          </w:tcPr>
          <w:p>
            <w:pPr>
              <w:pStyle w:val="Rvps14"/>
              <w:widowControl w:val="false"/>
              <w:suppressAutoHyphens w:val="true"/>
              <w:overflowPunct w:val="true"/>
              <w:bidi w:val="0"/>
              <w:spacing w:lineRule="atLeast" w:line="100" w:before="150" w:after="150"/>
              <w:ind w:left="340" w:right="283" w:firstLine="113"/>
              <w:jc w:val="both"/>
              <w:textAlignment w:val="baseline"/>
              <w:rPr>
                <w:sz w:val="26"/>
                <w:szCs w:val="26"/>
              </w:rPr>
            </w:pPr>
            <w:r>
              <w:rPr>
                <w:rFonts w:cs="Times New Roman"/>
                <w:sz w:val="26"/>
                <w:szCs w:val="26"/>
              </w:rPr>
              <w:t>вільне володіння державною мовою</w:t>
            </w:r>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Вимоги до компетентності</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b/>
                <w:bCs/>
                <w:sz w:val="26"/>
                <w:szCs w:val="26"/>
              </w:rPr>
              <w:t>Вимога</w:t>
            </w:r>
          </w:p>
        </w:tc>
        <w:tc>
          <w:tcPr>
            <w:tcW w:w="6185" w:type="dxa"/>
            <w:tcBorders>
              <w:left w:val="single" w:sz="2" w:space="0" w:color="000000"/>
              <w:bottom w:val="single" w:sz="2" w:space="0" w:color="000000"/>
              <w:right w:val="single" w:sz="2" w:space="0" w:color="000000"/>
            </w:tcBorders>
          </w:tcPr>
          <w:p>
            <w:pPr>
              <w:pStyle w:val="Normal"/>
              <w:widowControl w:val="false"/>
              <w:jc w:val="both"/>
              <w:rPr>
                <w:sz w:val="26"/>
                <w:szCs w:val="26"/>
              </w:rPr>
            </w:pPr>
            <w:r>
              <w:rPr>
                <w:b/>
                <w:bCs/>
                <w:sz w:val="26"/>
                <w:szCs w:val="26"/>
              </w:rPr>
              <w:t>Компоненти вимоги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Досягнення результатів</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до чіткого бачення результату діяльності;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вміння запобігати та ефективно долати перешкоди.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Відповідальність</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113" w:right="113" w:firstLine="510"/>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3.</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Цифрова грамотність</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57" w:right="57" w:firstLine="454"/>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overflowPunct w:val="true"/>
              <w:bidi w:val="0"/>
              <w:spacing w:before="0" w:after="0"/>
              <w:ind w:left="0" w:right="-57" w:hanging="0"/>
              <w:jc w:val="both"/>
              <w:rPr>
                <w:sz w:val="26"/>
                <w:szCs w:val="26"/>
              </w:rPr>
            </w:pPr>
            <w:r>
              <w:rPr>
                <w:sz w:val="26"/>
                <w:szCs w:val="26"/>
              </w:rPr>
              <w:t>вміння використовувати сервіси інтернету для ефективного пошуку потрібної інформації;</w:t>
            </w:r>
          </w:p>
          <w:p>
            <w:pPr>
              <w:pStyle w:val="Style19"/>
              <w:widowControl w:val="false"/>
              <w:suppressLineNumbers/>
              <w:suppressAutoHyphens w:val="true"/>
              <w:overflowPunct w:val="true"/>
              <w:bidi w:val="0"/>
              <w:spacing w:before="0" w:after="0"/>
              <w:ind w:left="57" w:right="0" w:firstLine="567"/>
              <w:jc w:val="both"/>
              <w:rPr>
                <w:sz w:val="26"/>
                <w:szCs w:val="26"/>
              </w:rPr>
            </w:pPr>
            <w:r>
              <w:rPr>
                <w:sz w:val="26"/>
                <w:szCs w:val="26"/>
              </w:rPr>
              <w:t>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overflowPunct w:val="true"/>
              <w:bidi w:val="0"/>
              <w:spacing w:before="0" w:after="0"/>
              <w:ind w:left="57" w:right="0" w:firstLine="567"/>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уникати небезпек в цифровому середовищі, захищати особисті та конфіденційні дані;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Професійні знання</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b/>
                <w:bCs/>
                <w:sz w:val="26"/>
                <w:szCs w:val="26"/>
              </w:rPr>
              <w:t>Вимога</w:t>
            </w:r>
          </w:p>
        </w:tc>
        <w:tc>
          <w:tcPr>
            <w:tcW w:w="6185" w:type="dxa"/>
            <w:tcBorders>
              <w:left w:val="single" w:sz="2" w:space="0" w:color="000000"/>
              <w:bottom w:val="single" w:sz="2" w:space="0" w:color="000000"/>
              <w:right w:val="single" w:sz="2" w:space="0" w:color="000000"/>
            </w:tcBorders>
          </w:tcPr>
          <w:p>
            <w:pPr>
              <w:pStyle w:val="Normal"/>
              <w:widowControl w:val="false"/>
              <w:jc w:val="both"/>
              <w:rPr>
                <w:sz w:val="26"/>
                <w:szCs w:val="26"/>
              </w:rPr>
            </w:pPr>
            <w:r>
              <w:rPr>
                <w:b/>
                <w:bCs/>
                <w:sz w:val="26"/>
                <w:szCs w:val="26"/>
              </w:rPr>
              <w:t>Компоненти вимоги</w:t>
            </w:r>
          </w:p>
        </w:tc>
      </w:tr>
      <w:tr>
        <w:trPr>
          <w:trHeight w:val="1299"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Normal"/>
              <w:widowControl w:val="false"/>
              <w:jc w:val="both"/>
              <w:rPr>
                <w:sz w:val="26"/>
                <w:szCs w:val="26"/>
              </w:rPr>
            </w:pPr>
            <w:r>
              <w:rPr>
                <w:sz w:val="26"/>
                <w:szCs w:val="26"/>
              </w:rPr>
              <w:t>Знання законодавства</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left="57" w:right="57" w:firstLine="624"/>
              <w:jc w:val="both"/>
              <w:rPr>
                <w:sz w:val="26"/>
                <w:szCs w:val="26"/>
              </w:rPr>
            </w:pPr>
            <w:r>
              <w:rPr>
                <w:sz w:val="26"/>
                <w:szCs w:val="26"/>
              </w:rPr>
              <w:t>Конституції України від 28 червня 1996 року;</w:t>
            </w:r>
          </w:p>
          <w:p>
            <w:pPr>
              <w:pStyle w:val="Normal"/>
              <w:widowControl w:val="false"/>
              <w:suppressAutoHyphens w:val="true"/>
              <w:overflowPunct w:val="true"/>
              <w:bidi w:val="0"/>
              <w:spacing w:before="0" w:after="0"/>
              <w:ind w:left="57" w:right="57" w:firstLine="567"/>
              <w:jc w:val="both"/>
              <w:rPr>
                <w:sz w:val="26"/>
                <w:szCs w:val="26"/>
              </w:rPr>
            </w:pPr>
            <w:r>
              <w:rPr>
                <w:rFonts w:eastAsia="Times New Roman" w:cs="Times New Roman"/>
                <w:sz w:val="26"/>
                <w:szCs w:val="26"/>
              </w:rPr>
              <w:t>Закон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true"/>
              <w:bidi w:val="0"/>
              <w:spacing w:before="0" w:after="0"/>
              <w:ind w:left="57" w:right="57" w:firstLine="567"/>
              <w:jc w:val="both"/>
              <w:rPr>
                <w:sz w:val="26"/>
                <w:szCs w:val="26"/>
              </w:rPr>
            </w:pPr>
            <w:r>
              <w:rPr>
                <w:rFonts w:eastAsia="Times New Roman" w:cs="Times New Roman"/>
                <w:sz w:val="26"/>
                <w:szCs w:val="26"/>
              </w:rPr>
              <w:t xml:space="preserve">Закон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true"/>
              <w:bidi w:val="0"/>
              <w:spacing w:before="0" w:after="0"/>
              <w:ind w:left="57" w:right="57" w:firstLine="510"/>
              <w:jc w:val="both"/>
              <w:rPr>
                <w:sz w:val="26"/>
                <w:szCs w:val="26"/>
              </w:rPr>
            </w:pPr>
            <w:r>
              <w:rPr>
                <w:rFonts w:eastAsia="Times New Roman" w:cs="Times New Roman"/>
                <w:sz w:val="26"/>
                <w:szCs w:val="26"/>
              </w:rPr>
              <w:t>Закон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true"/>
              <w:bidi w:val="0"/>
              <w:spacing w:before="0" w:after="0"/>
              <w:ind w:left="57" w:right="57" w:firstLine="624"/>
              <w:jc w:val="both"/>
              <w:rPr>
                <w:sz w:val="26"/>
                <w:szCs w:val="26"/>
              </w:rPr>
            </w:pPr>
            <w:r>
              <w:rPr>
                <w:sz w:val="26"/>
                <w:szCs w:val="26"/>
              </w:rPr>
              <w:t>Закон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Normal"/>
              <w:widowControl w:val="false"/>
              <w:jc w:val="both"/>
              <w:rPr>
                <w:sz w:val="26"/>
                <w:szCs w:val="26"/>
              </w:rPr>
            </w:pPr>
            <w:r>
              <w:rPr>
                <w:sz w:val="26"/>
                <w:szCs w:val="26"/>
              </w:rPr>
              <w:t>Знання законодавства у сфері</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left="57" w:right="57" w:firstLine="567"/>
              <w:jc w:val="both"/>
              <w:rPr>
                <w:sz w:val="26"/>
                <w:szCs w:val="26"/>
              </w:rPr>
            </w:pPr>
            <w:r>
              <w:rPr>
                <w:sz w:val="26"/>
                <w:szCs w:val="26"/>
              </w:rPr>
              <w:t xml:space="preserve">Закон України </w:t>
            </w:r>
            <w:r>
              <w:rPr>
                <w:b w:val="false"/>
                <w:bCs w:val="false"/>
                <w:sz w:val="26"/>
                <w:szCs w:val="26"/>
              </w:rPr>
              <w:t>“</w:t>
            </w:r>
            <w:bookmarkStart w:id="0" w:name="__DdeLink__950_1541986854"/>
            <w:bookmarkEnd w:id="0"/>
            <w:r>
              <w:rPr>
                <w:b w:val="false"/>
                <w:bCs w:val="false"/>
                <w:i w:val="false"/>
                <w:caps w:val="false"/>
                <w:smallCaps w:val="false"/>
                <w:color w:val="000000"/>
                <w:spacing w:val="0"/>
                <w:sz w:val="26"/>
                <w:szCs w:val="26"/>
              </w:rPr>
              <w:t>Про загальнообов’язкове державне пенсійне страхування</w:t>
            </w:r>
            <w:r>
              <w:rPr>
                <w:b w:val="false"/>
                <w:bCs w:val="false"/>
                <w:sz w:val="26"/>
                <w:szCs w:val="26"/>
              </w:rPr>
              <w:t xml:space="preserve">” </w:t>
            </w:r>
            <w:r>
              <w:rPr>
                <w:b w:val="false"/>
                <w:bCs w:val="false"/>
                <w:sz w:val="26"/>
                <w:szCs w:val="26"/>
                <w:lang w:val="uk-UA"/>
              </w:rPr>
              <w:t>від 09 липня 2003 року № 1058-</w:t>
            </w:r>
            <w:r>
              <w:rPr>
                <w:b w:val="false"/>
                <w:bCs w:val="false"/>
                <w:sz w:val="26"/>
                <w:szCs w:val="26"/>
                <w:lang w:val="en-US"/>
              </w:rPr>
              <w:t>VI</w:t>
            </w:r>
            <w:r>
              <w:rPr>
                <w:b w:val="false"/>
                <w:bCs w:val="false"/>
                <w:sz w:val="26"/>
                <w:szCs w:val="26"/>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rPr>
              <w:t xml:space="preserve">Закон України “Про загальнообов’язкове державне соціальне страхування” </w:t>
            </w:r>
            <w:r>
              <w:rPr>
                <w:b w:val="false"/>
                <w:bCs w:val="false"/>
                <w:i w:val="false"/>
                <w:caps w:val="false"/>
                <w:smallCaps w:val="false"/>
                <w:color w:val="000000"/>
                <w:spacing w:val="0"/>
                <w:sz w:val="26"/>
                <w:szCs w:val="26"/>
                <w:lang w:val="uk-UA"/>
              </w:rPr>
              <w:t>від 23 вересня 1999 року № 1105-</w:t>
            </w:r>
            <w:r>
              <w:rPr>
                <w:b w:val="false"/>
                <w:bCs w:val="false"/>
                <w:i w:val="false"/>
                <w:caps w:val="false"/>
                <w:smallCaps w:val="false"/>
                <w:color w:val="000000"/>
                <w:spacing w:val="0"/>
                <w:sz w:val="26"/>
                <w:szCs w:val="26"/>
                <w:lang w:val="en-US"/>
              </w:rPr>
              <w:t>XIV;</w:t>
            </w:r>
          </w:p>
          <w:p>
            <w:pPr>
              <w:pStyle w:val="Normal"/>
              <w:widowControl w:val="false"/>
              <w:ind w:left="0" w:right="0" w:hanging="0"/>
              <w:jc w:val="both"/>
              <w:rPr>
                <w:sz w:val="26"/>
                <w:szCs w:val="26"/>
              </w:rPr>
            </w:pPr>
            <w:r>
              <w:rPr>
                <w:caps w:val="false"/>
                <w:smallCaps w:val="false"/>
                <w:color w:val="000000"/>
                <w:spacing w:val="0"/>
                <w:sz w:val="26"/>
                <w:szCs w:val="26"/>
                <w:lang w:val="uk-UA"/>
              </w:rPr>
              <w:t xml:space="preserve">Закон України </w:t>
            </w:r>
            <w:r>
              <w:rPr>
                <w:b w:val="false"/>
                <w:bCs w:val="false"/>
                <w:caps w:val="false"/>
                <w:smallCaps w:val="false"/>
                <w:color w:val="000000"/>
                <w:spacing w:val="0"/>
                <w:sz w:val="26"/>
                <w:szCs w:val="26"/>
                <w:lang w:val="uk-UA"/>
              </w:rPr>
              <w:t>“</w:t>
            </w:r>
            <w:r>
              <w:rPr>
                <w:b w:val="false"/>
                <w:bCs w:val="false"/>
                <w:i w:val="false"/>
                <w:caps w:val="false"/>
                <w:smallCaps w:val="false"/>
                <w:color w:val="000000"/>
                <w:spacing w:val="0"/>
                <w:sz w:val="26"/>
                <w:szCs w:val="26"/>
              </w:rPr>
              <w:t xml:space="preserve">Про </w:t>
            </w:r>
            <w:r>
              <w:rPr>
                <w:b w:val="false"/>
                <w:bCs w:val="false"/>
                <w:i w:val="false"/>
                <w:caps w:val="false"/>
                <w:smallCaps w:val="false"/>
                <w:color w:val="000000"/>
                <w:spacing w:val="0"/>
                <w:sz w:val="26"/>
                <w:szCs w:val="26"/>
                <w:lang w:val="uk-UA"/>
              </w:rPr>
              <w:t>прокуратуру</w:t>
            </w:r>
            <w:r>
              <w:rPr>
                <w:b w:val="false"/>
                <w:bCs w:val="false"/>
                <w:i w:val="false"/>
                <w:caps w:val="false"/>
                <w:smallCaps w:val="false"/>
                <w:color w:val="000000"/>
                <w:spacing w:val="0"/>
                <w:sz w:val="26"/>
                <w:szCs w:val="26"/>
                <w:lang w:val="en-US"/>
              </w:rPr>
              <w:t xml:space="preserve">” </w:t>
            </w:r>
            <w:r>
              <w:rPr>
                <w:b w:val="false"/>
                <w:bCs w:val="false"/>
                <w:i w:val="false"/>
                <w:caps w:val="false"/>
                <w:smallCaps w:val="false"/>
                <w:color w:val="000000"/>
                <w:spacing w:val="0"/>
                <w:sz w:val="26"/>
                <w:szCs w:val="26"/>
                <w:lang w:val="uk-UA"/>
              </w:rPr>
              <w:t xml:space="preserve">від </w:t>
            </w:r>
            <w:r>
              <w:rPr>
                <w:b w:val="false"/>
                <w:bCs w:val="false"/>
                <w:i w:val="false"/>
                <w:caps w:val="false"/>
                <w:smallCaps w:val="false"/>
                <w:color w:val="000000"/>
                <w:spacing w:val="0"/>
                <w:sz w:val="26"/>
                <w:szCs w:val="26"/>
                <w:lang w:val="en-US"/>
              </w:rPr>
              <w:t xml:space="preserve">14 </w:t>
            </w:r>
            <w:r>
              <w:rPr>
                <w:b w:val="false"/>
                <w:bCs w:val="false"/>
                <w:i w:val="false"/>
                <w:caps w:val="false"/>
                <w:smallCaps w:val="false"/>
                <w:color w:val="000000"/>
                <w:spacing w:val="0"/>
                <w:sz w:val="26"/>
                <w:szCs w:val="26"/>
                <w:lang w:val="uk-UA"/>
              </w:rPr>
              <w:t>жовтня 2014 року № 1697-</w:t>
            </w:r>
            <w:r>
              <w:rPr>
                <w:b w:val="false"/>
                <w:bCs w:val="false"/>
                <w:i w:val="false"/>
                <w:caps w:val="false"/>
                <w:smallCaps w:val="false"/>
                <w:color w:val="000000"/>
                <w:spacing w:val="0"/>
                <w:sz w:val="26"/>
                <w:szCs w:val="26"/>
                <w:lang w:val="en-US"/>
              </w:rPr>
              <w:t>VII;</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rPr>
              <w:t>Закон України</w:t>
            </w:r>
            <w:r>
              <w:rPr>
                <w:b w:val="false"/>
                <w:bCs w:val="false"/>
                <w:i w:val="false"/>
                <w:caps w:val="false"/>
                <w:smallCaps w:val="false"/>
                <w:color w:val="000000"/>
                <w:spacing w:val="0"/>
                <w:sz w:val="26"/>
                <w:szCs w:val="26"/>
                <w:lang w:val="uk-UA" w:eastAsia="zh-CN" w:bidi="ar-SA"/>
              </w:rPr>
              <w:t xml:space="preserve"> “Про статус і соціальний захист громадян, які постраждали внаслідок Чорнобильської катастрофи” від 28 лютого 1991 року № 796-</w:t>
            </w:r>
            <w:r>
              <w:rPr>
                <w:b w:val="false"/>
                <w:bCs w:val="false"/>
                <w:i w:val="false"/>
                <w:caps w:val="false"/>
                <w:smallCaps w:val="false"/>
                <w:color w:val="000000"/>
                <w:spacing w:val="0"/>
                <w:sz w:val="26"/>
                <w:szCs w:val="26"/>
                <w:lang w:val="en-US" w:eastAsia="zh-CN" w:bidi="ar-SA"/>
              </w:rPr>
              <w:t>XII</w:t>
            </w:r>
            <w:r>
              <w:rPr>
                <w:b w:val="false"/>
                <w:bCs w:val="false"/>
                <w:i w:val="false"/>
                <w:caps w:val="false"/>
                <w:smallCaps w:val="false"/>
                <w:color w:val="000000"/>
                <w:spacing w:val="0"/>
                <w:sz w:val="26"/>
                <w:szCs w:val="26"/>
                <w:lang w:val="uk-UA" w:eastAsia="zh-CN" w:bidi="ar-SA"/>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eastAsia="zh-CN" w:bidi="ar-SA"/>
              </w:rPr>
              <w:t>Закон України "Про судоустрій і статус суддів" від 02 червня 2016 року № 1402-</w:t>
            </w:r>
            <w:r>
              <w:rPr>
                <w:b w:val="false"/>
                <w:bCs w:val="false"/>
                <w:i w:val="false"/>
                <w:caps w:val="false"/>
                <w:smallCaps w:val="false"/>
                <w:color w:val="000000"/>
                <w:spacing w:val="0"/>
                <w:sz w:val="26"/>
                <w:szCs w:val="26"/>
                <w:lang w:val="en-US" w:eastAsia="zh-CN" w:bidi="ar-SA"/>
              </w:rPr>
              <w:t>VIII;</w:t>
            </w:r>
          </w:p>
          <w:p>
            <w:pPr>
              <w:pStyle w:val="Normal"/>
              <w:widowControl w:val="false"/>
              <w:ind w:left="0" w:right="0" w:hanging="0"/>
              <w:jc w:val="both"/>
              <w:rPr>
                <w:sz w:val="26"/>
                <w:szCs w:val="26"/>
              </w:rPr>
            </w:pPr>
            <w:r>
              <w:rPr>
                <w:b w:val="false"/>
                <w:bCs w:val="false"/>
                <w:i w:val="false"/>
                <w:caps w:val="false"/>
                <w:smallCaps w:val="false"/>
                <w:color w:val="000000"/>
                <w:spacing w:val="0"/>
                <w:sz w:val="26"/>
                <w:szCs w:val="26"/>
                <w:lang w:val="uk-UA" w:eastAsia="zh-CN" w:bidi="ar-SA"/>
              </w:rPr>
              <w:t>Закон України “Про пенсійне забезпечення осіб, звільнених з військової служби, та деяких інших осіб” від 09 квітня 1992 року № 2262-</w:t>
            </w:r>
            <w:r>
              <w:rPr>
                <w:b w:val="false"/>
                <w:bCs w:val="false"/>
                <w:i w:val="false"/>
                <w:caps w:val="false"/>
                <w:smallCaps w:val="false"/>
                <w:color w:val="000000"/>
                <w:spacing w:val="0"/>
                <w:sz w:val="26"/>
                <w:szCs w:val="26"/>
                <w:lang w:val="en-US" w:eastAsia="zh-CN" w:bidi="ar-SA"/>
              </w:rPr>
              <w:t>XII</w:t>
            </w:r>
            <w:r>
              <w:rPr>
                <w:b w:val="false"/>
                <w:bCs w:val="false"/>
                <w:i w:val="false"/>
                <w:caps w:val="false"/>
                <w:smallCaps w:val="false"/>
                <w:color w:val="000000"/>
                <w:spacing w:val="0"/>
                <w:sz w:val="26"/>
                <w:szCs w:val="26"/>
                <w:lang w:val="uk-UA" w:eastAsia="zh-CN" w:bidi="ar-SA"/>
              </w:rPr>
              <w:t>;</w:t>
            </w:r>
          </w:p>
          <w:p>
            <w:pPr>
              <w:pStyle w:val="Normal"/>
              <w:widowControl w:val="false"/>
              <w:suppressAutoHyphens w:val="true"/>
              <w:overflowPunct w:val="true"/>
              <w:bidi w:val="0"/>
              <w:spacing w:before="0" w:after="0"/>
              <w:ind w:left="57" w:right="57" w:firstLine="624"/>
              <w:jc w:val="both"/>
              <w:rPr>
                <w:sz w:val="26"/>
                <w:szCs w:val="26"/>
              </w:rPr>
            </w:pPr>
            <w:r>
              <w:rPr>
                <w:b w:val="false"/>
                <w:bCs w:val="false"/>
                <w:i w:val="false"/>
                <w:caps w:val="false"/>
                <w:smallCaps w:val="false"/>
                <w:color w:val="000000"/>
                <w:spacing w:val="0"/>
                <w:sz w:val="26"/>
                <w:szCs w:val="26"/>
                <w:lang w:val="uk-UA" w:eastAsia="zh-CN" w:bidi="ar-SA"/>
              </w:rPr>
              <w:t>Постанова Пенсійного фонду України від 25 листопада 2005 року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w:t>
            </w:r>
            <w:r>
              <w:rPr>
                <w:b w:val="false"/>
                <w:bCs w:val="false"/>
                <w:i w:val="false"/>
                <w:caps w:val="false"/>
                <w:smallCaps w:val="false"/>
                <w:color w:val="000000"/>
                <w:spacing w:val="0"/>
                <w:sz w:val="26"/>
                <w:szCs w:val="26"/>
                <w:lang w:val="en-US" w:eastAsia="zh-CN" w:bidi="ar-SA"/>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eastAsia="zh-CN" w:bidi="ar-SA"/>
              </w:rPr>
              <w:t>Постанова Пенсійного фонду України від 30 липня 2015 року № 13-1 “Про організацію прийому та обслуговування осіб, які звертаються до органів Пенсійного фонду України”;</w:t>
            </w:r>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Постанова Кабінету Міністрів України від 04 червня 2015 року № 373 “Про затвердження Порядку надання пільг окремим категоріям громадян з урахуванням середньомісячного сукупного доходу сім’ї”;</w:t>
            </w:r>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 xml:space="preserve">Постанова Кабінету Міністрів України від 21 жовтня 1995 року № 848 “Про </w:t>
            </w:r>
            <w:r>
              <w:rPr>
                <w:b w:val="false"/>
                <w:bCs w:val="false"/>
                <w:color w:val="000000"/>
                <w:sz w:val="26"/>
                <w:szCs w:val="26"/>
              </w:rPr>
              <w:t>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bookmarkStart w:id="1" w:name="Про_спрощення_порядку_надання_населенню_"/>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Постанова Правління Пенсійного Фонду України від 26 січня 2024 року № 4-1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w:t>
            </w:r>
            <w:bookmarkEnd w:id="1"/>
          </w:p>
        </w:tc>
      </w:tr>
    </w:tbl>
    <w:p>
      <w:pPr>
        <w:pStyle w:val="Normal"/>
        <w:suppressAutoHyphens w:val="false"/>
        <w:snapToGrid w:val="false"/>
        <w:jc w:val="center"/>
        <w:rPr>
          <w:sz w:val="26"/>
          <w:szCs w:val="26"/>
        </w:rPr>
      </w:pPr>
      <w:r>
        <w:rPr/>
      </w:r>
    </w:p>
    <w:sectPr>
      <w:headerReference w:type="default" r:id="rId3"/>
      <w:type w:val="nextPage"/>
      <w:pgSz w:w="11906" w:h="16838"/>
      <w:pgMar w:left="1701" w:right="567" w:gutter="0" w:header="1134" w:top="1648"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center"/>
      <w:rPr/>
    </w:pPr>
    <w:r>
      <w:rPr/>
      <w:t xml:space="preserve">                                                                                   </w:t>
    </w:r>
    <w:r>
      <w:rPr/>
      <w:fldChar w:fldCharType="begin"/>
    </w:r>
    <w:r>
      <w:rPr/>
      <w:instrText xml:space="preserve"> PAGE </w:instrText>
    </w:r>
    <w:r>
      <w:rPr/>
      <w:fldChar w:fldCharType="separate"/>
    </w:r>
    <w:r>
      <w:rPr/>
      <w:t>5</w:t>
    </w:r>
    <w:r>
      <w:rPr/>
      <w:fldChar w:fldCharType="end"/>
    </w:r>
    <w:r>
      <w:rPr/>
      <w:t xml:space="preserve">                                                </w:t>
    </w:r>
    <w:r>
      <w:rPr>
        <w:rFonts w:ascii="Liberation Serif" w:hAnsi="Liberation Serif"/>
      </w:rPr>
      <w:t>П</w:t>
    </w:r>
    <w:r>
      <w:rPr>
        <w:rFonts w:ascii="Liberation Serif" w:hAnsi="Liberation Serif"/>
        <w:sz w:val="26"/>
        <w:szCs w:val="26"/>
      </w:rPr>
      <w:t>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left="0" w:right="3712" w:hanging="0"/>
      <w:outlineLvl w:val="3"/>
    </w:pPr>
    <w:rPr>
      <w:b/>
      <w:sz w:val="28"/>
    </w:rPr>
  </w:style>
  <w:style w:type="paragraph" w:styleId="5">
    <w:name w:val="Heading 5"/>
    <w:basedOn w:val="Normal"/>
    <w:next w:val="Normal"/>
    <w:link w:val="Heading5Char"/>
    <w:qFormat/>
    <w:pPr>
      <w:keepNext w:val="true"/>
      <w:jc w:val="right"/>
      <w:outlineLvl w:val="4"/>
    </w:pPr>
    <w:rPr>
      <w:sz w:val="24"/>
      <w:lang w:val="en-US"/>
    </w:rPr>
  </w:style>
  <w:style w:type="paragraph" w:styleId="6">
    <w:name w:val="Heading 6"/>
    <w:basedOn w:val="Style9"/>
    <w:link w:val="Heading6Char"/>
    <w:qFormat/>
    <w:pPr>
      <w:outlineLvl w:val="5"/>
    </w:pPr>
    <w:rPr>
      <w:b/>
      <w:bCs/>
      <w:sz w:val="21"/>
      <w:szCs w:val="21"/>
    </w:rPr>
  </w:style>
  <w:style w:type="paragraph" w:styleId="7">
    <w:name w:val="Heading 7"/>
    <w:basedOn w:val="Style9"/>
    <w:link w:val="Heading7Char"/>
    <w:qFormat/>
    <w:pPr>
      <w:outlineLvl w:val="6"/>
    </w:pPr>
    <w:rPr>
      <w:b/>
      <w:bCs/>
      <w:sz w:val="21"/>
      <w:szCs w:val="21"/>
    </w:rPr>
  </w:style>
  <w:style w:type="paragraph" w:styleId="8">
    <w:name w:val="Heading 8"/>
    <w:basedOn w:val="Style9"/>
    <w:link w:val="Heading8Char"/>
    <w:qFormat/>
    <w:pPr>
      <w:outlineLvl w:val="7"/>
    </w:pPr>
    <w:rPr>
      <w:b/>
      <w:bCs/>
      <w:sz w:val="21"/>
      <w:szCs w:val="21"/>
    </w:rPr>
  </w:style>
  <w:style w:type="paragraph" w:styleId="9">
    <w:name w:val="Heading 9"/>
    <w:basedOn w:val="Style9"/>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link w:val="BodyTextChar"/>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link w:val="TitleChar"/>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link w:val="BodyTextIndentChar"/>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link w:val="SubtitleChar"/>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tru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Style31">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31">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32">
    <w:name w:val="Вміст рамки"/>
    <w:basedOn w:val="Normal"/>
    <w:qFormat/>
    <w:pPr/>
    <w:rPr/>
  </w:style>
  <w:style w:type="paragraph" w:styleId="311">
    <w:name w:val="Основной текст с отступом 31"/>
    <w:basedOn w:val="Normal"/>
    <w:qFormat/>
    <w:pPr>
      <w:ind w:left="284" w:hanging="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right="14" w:firstLine="709"/>
      <w:jc w:val="both"/>
    </w:pPr>
    <w:rPr>
      <w:sz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1247</TotalTime>
  <Application>LibreOffice/7.4.3.2$Windows_X86_64 LibreOffice_project/1048a8393ae2eeec98dff31b5c133c5f1d08b890</Application>
  <AppVersion>15.0000</AppVersion>
  <Pages>5</Pages>
  <Words>1125</Words>
  <Characters>7582</Characters>
  <CharactersWithSpaces>8755</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2025-02-14T10:54:12Z</dcterms:modified>
  <cp:revision>220</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