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suppressAutoHyphens w:val="false"/>
        <w:bidi w:val="0"/>
        <w:snapToGrid w:val="false"/>
        <w:spacing w:before="0" w:after="0"/>
        <w:ind w:left="5556" w:right="0" w:hanging="0"/>
        <w:jc w:val="left"/>
        <w:rPr>
          <w:sz w:val="26"/>
          <w:szCs w:val="26"/>
        </w:rPr>
      </w:pPr>
      <w:r>
        <w:rPr>
          <w:rFonts w:eastAsia="Times New Roman" w:cs="Times New Roman"/>
          <w:b w:val="false"/>
          <w:bCs w:val="false"/>
          <w:color w:val="000000"/>
          <w:kern w:val="0"/>
          <w:sz w:val="26"/>
          <w:szCs w:val="26"/>
          <w:lang w:val="uk-UA" w:eastAsia="zh-CN" w:bidi="ar-SA"/>
        </w:rPr>
        <w:t>ЗАТВЕРДЖЕНО</w:t>
      </w:r>
    </w:p>
    <w:p>
      <w:pPr>
        <w:pStyle w:val="Normal"/>
        <w:widowControl/>
        <w:suppressAutoHyphens w:val="false"/>
        <w:bidi w:val="0"/>
        <w:snapToGrid w:val="false"/>
        <w:spacing w:before="0" w:after="0"/>
        <w:ind w:left="5556" w:right="0" w:hanging="0"/>
        <w:jc w:val="left"/>
        <w:rPr>
          <w:sz w:val="26"/>
          <w:szCs w:val="26"/>
        </w:rPr>
      </w:pPr>
      <w:r>
        <w:rPr>
          <w:rFonts w:eastAsia="Times New Roman" w:cs="Times New Roman"/>
          <w:b w:val="false"/>
          <w:bCs w:val="false"/>
          <w:color w:val="000000"/>
          <w:kern w:val="0"/>
          <w:sz w:val="26"/>
          <w:szCs w:val="26"/>
          <w:lang w:val="uk-UA" w:eastAsia="zh-CN" w:bidi="ar-SA"/>
        </w:rPr>
        <w:t xml:space="preserve">наказ Головного управління </w:t>
      </w:r>
    </w:p>
    <w:p>
      <w:pPr>
        <w:pStyle w:val="Normal"/>
        <w:widowControl/>
        <w:suppressAutoHyphens w:val="false"/>
        <w:bidi w:val="0"/>
        <w:snapToGrid w:val="false"/>
        <w:spacing w:before="0" w:after="0"/>
        <w:ind w:left="5556" w:right="0" w:hanging="0"/>
        <w:jc w:val="left"/>
        <w:rPr>
          <w:sz w:val="26"/>
          <w:szCs w:val="26"/>
        </w:rPr>
      </w:pPr>
      <w:r>
        <w:rPr>
          <w:rFonts w:eastAsia="Times New Roman" w:cs="Times New Roman"/>
          <w:b w:val="false"/>
          <w:bCs w:val="false"/>
          <w:color w:val="000000"/>
          <w:kern w:val="0"/>
          <w:sz w:val="26"/>
          <w:szCs w:val="26"/>
          <w:lang w:val="uk-UA" w:eastAsia="zh-CN" w:bidi="ar-SA"/>
        </w:rPr>
        <w:t>Пенсійного фонду України</w:t>
      </w:r>
    </w:p>
    <w:p>
      <w:pPr>
        <w:pStyle w:val="Normal"/>
        <w:widowControl/>
        <w:suppressAutoHyphens w:val="false"/>
        <w:bidi w:val="0"/>
        <w:snapToGrid w:val="false"/>
        <w:spacing w:before="0" w:after="0"/>
        <w:ind w:left="5556" w:right="0" w:hanging="0"/>
        <w:jc w:val="left"/>
        <w:rPr>
          <w:sz w:val="26"/>
          <w:szCs w:val="26"/>
        </w:rPr>
      </w:pPr>
      <w:r>
        <w:rPr>
          <w:rFonts w:eastAsia="Times New Roman" w:cs="Times New Roman"/>
          <w:b w:val="false"/>
          <w:bCs w:val="false"/>
          <w:color w:val="000000"/>
          <w:kern w:val="0"/>
          <w:sz w:val="26"/>
          <w:szCs w:val="26"/>
          <w:lang w:val="uk-UA" w:eastAsia="zh-CN" w:bidi="ar-SA"/>
        </w:rPr>
        <w:t>у Волинській області</w:t>
      </w:r>
    </w:p>
    <w:p>
      <w:pPr>
        <w:pStyle w:val="Normal"/>
        <w:widowControl/>
        <w:suppressAutoHyphens w:val="false"/>
        <w:bidi w:val="0"/>
        <w:snapToGrid w:val="false"/>
        <w:spacing w:before="0" w:after="170"/>
        <w:ind w:left="5556" w:right="0" w:hanging="0"/>
        <w:jc w:val="left"/>
        <w:rPr>
          <w:sz w:val="26"/>
          <w:szCs w:val="26"/>
        </w:rPr>
      </w:pPr>
      <w:r>
        <w:rPr>
          <w:rFonts w:eastAsia="Times New Roman" w:cs="Times New Roman"/>
          <w:b w:val="false"/>
          <w:bCs w:val="false"/>
          <w:color w:val="000000"/>
          <w:kern w:val="0"/>
          <w:sz w:val="26"/>
          <w:szCs w:val="26"/>
          <w:lang w:val="uk-UA" w:eastAsia="zh-CN" w:bidi="ar-SA"/>
        </w:rPr>
        <w:t>___________№___________</w:t>
      </w:r>
    </w:p>
    <w:p>
      <w:pPr>
        <w:pStyle w:val="Normal"/>
        <w:widowControl/>
        <w:suppressAutoHyphens w:val="false"/>
        <w:bidi w:val="0"/>
        <w:snapToGrid w:val="false"/>
        <w:spacing w:before="0" w:after="170"/>
        <w:ind w:left="5556" w:right="0" w:hanging="0"/>
        <w:jc w:val="lef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r>
    </w:p>
    <w:p>
      <w:pPr>
        <w:pStyle w:val="Normal"/>
        <w:suppressAutoHyphens w:val="true"/>
        <w:snapToGrid w:val="false"/>
        <w:jc w:val="center"/>
        <w:rPr>
          <w:sz w:val="26"/>
          <w:szCs w:val="26"/>
        </w:rPr>
      </w:pPr>
      <w:r>
        <w:rPr>
          <w:rFonts w:eastAsia="Times New Roman" w:cs="Times New Roman"/>
          <w:b w:val="false"/>
          <w:bCs w:val="false"/>
          <w:color w:val="000000"/>
          <w:kern w:val="0"/>
          <w:sz w:val="26"/>
          <w:szCs w:val="26"/>
          <w:lang w:val="uk-UA" w:eastAsia="zh-CN" w:bidi="ar-SA"/>
        </w:rPr>
        <w:t>УМОВИ</w:t>
      </w:r>
    </w:p>
    <w:p>
      <w:pPr>
        <w:pStyle w:val="Normal"/>
        <w:suppressAutoHyphens w:val="true"/>
        <w:snapToGrid w:val="false"/>
        <w:jc w:val="center"/>
        <w:rPr>
          <w:sz w:val="26"/>
          <w:szCs w:val="26"/>
        </w:rPr>
      </w:pPr>
      <w:r>
        <w:rPr>
          <w:b w:val="false"/>
          <w:bCs w:val="false"/>
          <w:color w:val="000000"/>
          <w:sz w:val="26"/>
          <w:szCs w:val="26"/>
        </w:rPr>
        <w:t xml:space="preserve"> </w:t>
      </w:r>
      <w:r>
        <w:rPr>
          <w:b w:val="false"/>
          <w:bCs w:val="false"/>
          <w:color w:val="000000"/>
          <w:sz w:val="26"/>
          <w:szCs w:val="26"/>
        </w:rPr>
        <w:t xml:space="preserve">проведення </w:t>
      </w:r>
      <w:r>
        <w:rPr>
          <w:rFonts w:eastAsia="Times New Roman" w:cs="Times New Roman"/>
          <w:b w:val="false"/>
          <w:bCs w:val="false"/>
          <w:color w:val="000000"/>
          <w:kern w:val="0"/>
          <w:sz w:val="26"/>
          <w:szCs w:val="26"/>
          <w:lang w:val="uk-UA" w:eastAsia="zh-CN" w:bidi="ar-SA"/>
        </w:rPr>
        <w:t>добору</w:t>
      </w:r>
    </w:p>
    <w:p>
      <w:pPr>
        <w:pStyle w:val="Normal"/>
        <w:suppressAutoHyphens w:val="true"/>
        <w:snapToGrid w:val="false"/>
        <w:jc w:val="center"/>
        <w:rPr>
          <w:sz w:val="26"/>
          <w:szCs w:val="26"/>
        </w:rPr>
      </w:pPr>
      <w:r>
        <w:rPr>
          <w:b w:val="false"/>
          <w:bCs w:val="false"/>
          <w:color w:val="000000"/>
          <w:sz w:val="26"/>
          <w:szCs w:val="26"/>
        </w:rPr>
        <w:t xml:space="preserve"> </w:t>
      </w:r>
      <w:r>
        <w:rPr>
          <w:b w:val="false"/>
          <w:bCs w:val="false"/>
          <w:color w:val="000000"/>
          <w:sz w:val="26"/>
          <w:szCs w:val="26"/>
        </w:rPr>
        <w:t>на зайняття вакантної посади</w:t>
      </w:r>
      <w:r>
        <w:rPr>
          <w:b w:val="false"/>
          <w:bCs w:val="false"/>
          <w:color w:val="000000"/>
          <w:sz w:val="26"/>
          <w:szCs w:val="26"/>
          <w:lang w:val="uk-UA" w:eastAsia="zh-CN" w:bidi="ar-SA"/>
        </w:rPr>
        <w:t xml:space="preserve"> категорії “В” </w:t>
      </w:r>
      <w:r>
        <w:rPr>
          <w:rFonts w:eastAsia="Times New Roman" w:cs="Times New Roman"/>
          <w:b w:val="false"/>
          <w:bCs w:val="false"/>
          <w:color w:val="000000"/>
          <w:sz w:val="26"/>
          <w:szCs w:val="26"/>
          <w:lang w:val="uk-UA" w:eastAsia="zh-CN" w:bidi="ar-SA"/>
        </w:rPr>
        <w:t>‒ провідний спеціаліст відділу</w:t>
      </w:r>
      <w:r>
        <w:rPr>
          <w:b w:val="false"/>
          <w:bCs w:val="false"/>
          <w:color w:val="000000"/>
          <w:sz w:val="26"/>
          <w:szCs w:val="26"/>
          <w:lang w:val="uk-UA" w:eastAsia="zh-CN" w:bidi="ar-SA"/>
        </w:rPr>
        <w:t xml:space="preserve">  обслуговування військовослужбовців та деяких інших категорій громадян</w:t>
      </w:r>
    </w:p>
    <w:p>
      <w:pPr>
        <w:pStyle w:val="Normal"/>
        <w:suppressAutoHyphens w:val="true"/>
        <w:snapToGrid w:val="false"/>
        <w:jc w:val="center"/>
        <w:rPr>
          <w:b w:val="false"/>
          <w:b w:val="false"/>
          <w:bCs w:val="false"/>
          <w:color w:val="000000"/>
          <w:sz w:val="26"/>
          <w:szCs w:val="26"/>
          <w:lang w:val="uk-UA" w:eastAsia="zh-CN" w:bidi="ar-SA"/>
        </w:rPr>
      </w:pPr>
      <w:r>
        <w:rPr>
          <w:b w:val="false"/>
          <w:bCs w:val="false"/>
          <w:color w:val="000000"/>
          <w:sz w:val="26"/>
          <w:szCs w:val="26"/>
          <w:lang w:val="uk-UA" w:eastAsia="zh-CN" w:bidi="ar-SA"/>
        </w:rPr>
        <w:t xml:space="preserve"> </w:t>
      </w:r>
      <w:r>
        <w:rPr>
          <w:b w:val="false"/>
          <w:bCs w:val="false"/>
          <w:color w:val="000000"/>
          <w:sz w:val="26"/>
          <w:szCs w:val="26"/>
          <w:lang w:val="uk-UA" w:eastAsia="zh-CN" w:bidi="ar-SA"/>
        </w:rPr>
        <w:t>(сервісний центр) Управління обслуговування громадян</w:t>
      </w:r>
    </w:p>
    <w:p>
      <w:pPr>
        <w:pStyle w:val="Normal"/>
        <w:suppressAutoHyphens w:val="true"/>
        <w:snapToGrid w:val="false"/>
        <w:jc w:val="center"/>
        <w:rPr>
          <w:b w:val="false"/>
          <w:b w:val="false"/>
          <w:bCs w:val="false"/>
          <w:color w:val="000000"/>
          <w:sz w:val="26"/>
          <w:szCs w:val="26"/>
        </w:rPr>
      </w:pPr>
      <w:r>
        <w:rPr>
          <w:b w:val="false"/>
          <w:bCs w:val="false"/>
          <w:color w:val="000000"/>
          <w:sz w:val="26"/>
          <w:szCs w:val="26"/>
        </w:rPr>
        <w:t>Головного управління Пенсійного фонду України у Волинській області</w:t>
      </w:r>
    </w:p>
    <w:p>
      <w:pPr>
        <w:pStyle w:val="Normal"/>
        <w:suppressAutoHyphens w:val="true"/>
        <w:snapToGrid w:val="false"/>
        <w:jc w:val="center"/>
        <w:rPr>
          <w:sz w:val="26"/>
          <w:szCs w:val="26"/>
        </w:rPr>
      </w:pPr>
      <w:r>
        <w:rPr>
          <w:b w:val="false"/>
          <w:bCs w:val="false"/>
          <w:color w:val="000000"/>
          <w:sz w:val="26"/>
          <w:szCs w:val="26"/>
        </w:rPr>
        <w:t xml:space="preserve">(класифікаційний код посади </w:t>
      </w:r>
      <w:r>
        <w:rPr>
          <w:rFonts w:eastAsia="NSimSun" w:cs="Times New Roman"/>
          <w:b w:val="false"/>
          <w:bCs w:val="false"/>
          <w:i w:val="false"/>
          <w:caps w:val="false"/>
          <w:smallCaps w:val="false"/>
          <w:color w:val="000000"/>
          <w:spacing w:val="0"/>
          <w:kern w:val="2"/>
          <w:sz w:val="26"/>
          <w:szCs w:val="26"/>
          <w:shd w:fill="auto" w:val="clear"/>
          <w:lang w:val="en-US" w:eastAsia="zh-CN" w:bidi="hi-IN"/>
        </w:rPr>
        <w:t>2-VI</w:t>
      </w:r>
      <w:r>
        <w:rPr>
          <w:rFonts w:eastAsia="NSimSun" w:cs="Times New Roman"/>
          <w:b w:val="false"/>
          <w:bCs w:val="false"/>
          <w:i w:val="false"/>
          <w:caps w:val="false"/>
          <w:smallCaps w:val="false"/>
          <w:color w:val="000000"/>
          <w:spacing w:val="0"/>
          <w:kern w:val="2"/>
          <w:sz w:val="26"/>
          <w:szCs w:val="26"/>
          <w:shd w:fill="auto" w:val="clear"/>
          <w:lang w:val="uk-UA" w:eastAsia="zh-CN" w:bidi="hi-IN"/>
        </w:rPr>
        <w:t>ІІ</w:t>
      </w:r>
      <w:r>
        <w:rPr>
          <w:rFonts w:eastAsia="NSimSun" w:cs="Times New Roman"/>
          <w:b w:val="false"/>
          <w:bCs w:val="false"/>
          <w:i w:val="false"/>
          <w:caps w:val="false"/>
          <w:smallCaps w:val="false"/>
          <w:color w:val="000000"/>
          <w:spacing w:val="0"/>
          <w:kern w:val="2"/>
          <w:sz w:val="26"/>
          <w:szCs w:val="26"/>
          <w:shd w:fill="auto" w:val="clear"/>
          <w:lang w:val="en-US" w:eastAsia="zh-CN" w:bidi="hi-IN"/>
        </w:rPr>
        <w:t>-2</w:t>
      </w:r>
      <w:r>
        <w:rPr>
          <w:rFonts w:eastAsia="NSimSun" w:cs="Times New Roman"/>
          <w:b w:val="false"/>
          <w:bCs w:val="false"/>
          <w:color w:val="000000"/>
          <w:kern w:val="2"/>
          <w:sz w:val="26"/>
          <w:szCs w:val="26"/>
          <w:shd w:fill="auto" w:val="clear"/>
          <w:lang w:val="uk-UA" w:eastAsia="zh-CN" w:bidi="hi-IN"/>
        </w:rPr>
        <w:t>,</w:t>
      </w:r>
      <w:r>
        <w:rPr>
          <w:b w:val="false"/>
          <w:bCs w:val="false"/>
          <w:color w:val="000000"/>
          <w:sz w:val="26"/>
          <w:szCs w:val="26"/>
          <w:lang w:val="uk-UA"/>
        </w:rPr>
        <w:t xml:space="preserve"> м. Луцьк</w:t>
      </w:r>
      <w:r>
        <w:rPr>
          <w:rFonts w:eastAsia="Times New Roman" w:cs="Times New Roman"/>
          <w:b w:val="false"/>
          <w:bCs w:val="false"/>
          <w:color w:val="000000"/>
          <w:sz w:val="26"/>
          <w:szCs w:val="26"/>
          <w:lang w:val="uk-UA"/>
        </w:rPr>
        <w:t>, просп. Грушевського, 1</w:t>
      </w:r>
      <w:r>
        <w:rPr>
          <w:b w:val="false"/>
          <w:bCs w:val="false"/>
          <w:color w:val="000000"/>
          <w:sz w:val="26"/>
          <w:szCs w:val="26"/>
        </w:rPr>
        <w:t>)</w:t>
      </w:r>
    </w:p>
    <w:p>
      <w:pPr>
        <w:pStyle w:val="Normal"/>
        <w:suppressAutoHyphens w:val="false"/>
        <w:snapToGrid w:val="false"/>
        <w:jc w:val="center"/>
        <w:rPr>
          <w:rFonts w:ascii="Times New Roman" w:hAnsi="Times New Roman"/>
          <w:b/>
          <w:b/>
          <w:bCs/>
          <w:color w:val="000000"/>
          <w:sz w:val="26"/>
          <w:szCs w:val="26"/>
        </w:rPr>
      </w:pPr>
      <w:r>
        <w:rPr>
          <w:b/>
          <w:bCs/>
          <w:color w:val="000000"/>
          <w:sz w:val="26"/>
          <w:szCs w:val="26"/>
        </w:rPr>
      </w:r>
    </w:p>
    <w:tbl>
      <w:tblPr>
        <w:tblW w:w="9705" w:type="dxa"/>
        <w:jc w:val="left"/>
        <w:tblInd w:w="0" w:type="dxa"/>
        <w:tblLayout w:type="fixed"/>
        <w:tblCellMar>
          <w:top w:w="55" w:type="dxa"/>
          <w:left w:w="55" w:type="dxa"/>
          <w:bottom w:w="55" w:type="dxa"/>
          <w:right w:w="55" w:type="dxa"/>
        </w:tblCellMar>
      </w:tblPr>
      <w:tblGrid>
        <w:gridCol w:w="559"/>
        <w:gridCol w:w="2961"/>
        <w:gridCol w:w="6185"/>
      </w:tblGrid>
      <w:tr>
        <w:trPr/>
        <w:tc>
          <w:tcPr>
            <w:tcW w:w="9705" w:type="dxa"/>
            <w:gridSpan w:val="3"/>
            <w:tcBorders>
              <w:top w:val="single" w:sz="2" w:space="0" w:color="000000"/>
              <w:left w:val="single" w:sz="2" w:space="0" w:color="000000"/>
              <w:bottom w:val="single" w:sz="2" w:space="0" w:color="000000"/>
              <w:right w:val="single" w:sz="2" w:space="0" w:color="000000"/>
            </w:tcBorders>
          </w:tcPr>
          <w:p>
            <w:pPr>
              <w:pStyle w:val="Style19"/>
              <w:widowControl w:val="false"/>
              <w:jc w:val="center"/>
              <w:rPr>
                <w:sz w:val="26"/>
                <w:szCs w:val="26"/>
              </w:rPr>
            </w:pPr>
            <w:r>
              <w:rPr>
                <w:b/>
                <w:bCs/>
                <w:sz w:val="26"/>
                <w:szCs w:val="26"/>
              </w:rPr>
              <w:t>Загальні умови</w:t>
            </w:r>
          </w:p>
        </w:tc>
      </w:tr>
      <w:tr>
        <w:trPr/>
        <w:tc>
          <w:tcPr>
            <w:tcW w:w="3520" w:type="dxa"/>
            <w:gridSpan w:val="2"/>
            <w:tcBorders>
              <w:left w:val="single" w:sz="2" w:space="0" w:color="000000"/>
              <w:bottom w:val="single" w:sz="2" w:space="0" w:color="000000"/>
            </w:tcBorders>
          </w:tcPr>
          <w:p>
            <w:pPr>
              <w:pStyle w:val="Style19"/>
              <w:widowControl w:val="false"/>
              <w:jc w:val="both"/>
              <w:rPr>
                <w:sz w:val="26"/>
                <w:szCs w:val="26"/>
              </w:rPr>
            </w:pPr>
            <w:r>
              <w:rPr>
                <w:sz w:val="26"/>
                <w:szCs w:val="26"/>
              </w:rPr>
              <w:t>Посадові обов'язки</w:t>
            </w:r>
          </w:p>
        </w:tc>
        <w:tc>
          <w:tcPr>
            <w:tcW w:w="6185" w:type="dxa"/>
            <w:tcBorders>
              <w:left w:val="single" w:sz="2" w:space="0" w:color="000000"/>
              <w:bottom w:val="single" w:sz="2" w:space="0" w:color="000000"/>
              <w:right w:val="single" w:sz="2" w:space="0" w:color="000000"/>
            </w:tcBorders>
          </w:tcPr>
          <w:p>
            <w:pPr>
              <w:pStyle w:val="Normal"/>
              <w:widowControl w:val="false"/>
              <w:suppressAutoHyphens w:val="true"/>
              <w:overflowPunct w:val="true"/>
              <w:bidi w:val="0"/>
              <w:spacing w:before="0" w:after="0"/>
              <w:ind w:right="227" w:hanging="0"/>
              <w:jc w:val="both"/>
              <w:textAlignment w:val="baseline"/>
              <w:rPr>
                <w:sz w:val="26"/>
                <w:szCs w:val="26"/>
              </w:rPr>
            </w:pPr>
            <w:r>
              <w:rPr>
                <w:b w:val="false"/>
                <w:i w:val="false"/>
                <w:strike w:val="false"/>
                <w:dstrike w:val="false"/>
                <w:outline w:val="false"/>
                <w:shadow w:val="false"/>
                <w:color w:val="auto"/>
                <w:sz w:val="26"/>
                <w:szCs w:val="26"/>
                <w:u w:val="none"/>
                <w:em w:val="none"/>
              </w:rPr>
              <w:t xml:space="preserve"> </w:t>
            </w:r>
            <w:r>
              <w:rPr>
                <w:b w:val="false"/>
                <w:i w:val="false"/>
                <w:strike w:val="false"/>
                <w:dstrike w:val="false"/>
                <w:outline w:val="false"/>
                <w:shadow w:val="false"/>
                <w:color w:val="auto"/>
                <w:sz w:val="26"/>
                <w:szCs w:val="26"/>
                <w:u w:val="none"/>
                <w:em w:val="none"/>
              </w:rPr>
              <w:t xml:space="preserve">1) Здійснення обслуговування громадян стаціонарно, на виїзному прийомі (на віддалених робочих місцях), дистанційно, шляхом надання електронних послуг, надання в усній та письмовій формі консультації з питань застосування законодавства про пенсійне забезпечення, </w:t>
            </w:r>
            <w:r>
              <w:rPr>
                <w:b w:val="false"/>
                <w:i w:val="false"/>
                <w:strike w:val="false"/>
                <w:dstrike w:val="false"/>
                <w:outline w:val="false"/>
                <w:shadow w:val="false"/>
                <w:color w:val="FF0000"/>
                <w:sz w:val="26"/>
                <w:szCs w:val="26"/>
                <w:u w:val="none"/>
                <w:em w:val="none"/>
              </w:rPr>
              <w:t xml:space="preserve"> </w:t>
            </w:r>
            <w:r>
              <w:rPr>
                <w:b w:val="false"/>
                <w:i w:val="false"/>
                <w:strike w:val="false"/>
                <w:dstrike w:val="false"/>
                <w:outline w:val="false"/>
                <w:shadow w:val="false"/>
                <w:color w:val="auto"/>
                <w:sz w:val="26"/>
                <w:szCs w:val="26"/>
                <w:u w:val="none"/>
                <w:em w:val="none"/>
              </w:rPr>
              <w:t>ведення обліку осіб, що підлягають загальнообов’язковому державному соціальному страхуванню, роз’яснення їхніх прав, обов’язків і відповідний порядок сплати страхових внесків;</w:t>
            </w:r>
          </w:p>
          <w:p>
            <w:pPr>
              <w:pStyle w:val="Normal"/>
              <w:widowControl w:val="false"/>
              <w:suppressAutoHyphens w:val="true"/>
              <w:overflowPunct w:val="true"/>
              <w:bidi w:val="0"/>
              <w:spacing w:before="0" w:after="0"/>
              <w:ind w:left="57" w:right="283" w:firstLine="510"/>
              <w:jc w:val="both"/>
              <w:textAlignment w:val="baseline"/>
              <w:rPr>
                <w:sz w:val="26"/>
                <w:szCs w:val="26"/>
              </w:rPr>
            </w:pPr>
            <w:r>
              <w:rPr>
                <w:b w:val="false"/>
                <w:i w:val="false"/>
                <w:strike w:val="false"/>
                <w:dstrike w:val="false"/>
                <w:outline w:val="false"/>
                <w:shadow w:val="false"/>
                <w:color w:val="000000"/>
                <w:sz w:val="26"/>
                <w:szCs w:val="26"/>
                <w:u w:val="none"/>
                <w:em w:val="none"/>
              </w:rPr>
              <w:t>2) Забезпечення прийому заяв та документів для призначення (перерахунку) пенсій (в тому числі відповідних документів для розгляду на Комісії з питань встановлення стажу роботи показаннями свідків та  Комісії з питань підтвердження стажу роботи на посадах, що дають право на призначення пенсії на пільгових умовах або за вислугу років), щомісячного довічного грошового утримання суддям у відставці, заяв про призначення (перерахунок) на  надання житлових субсидій, пільг, страхових виплат, їх реєстрацію, а також прийому документів з питань виплати пенсій (виплату допомоги на поховання, недоотриманої пенсії з зв’язку із смертю пенсіонера, пенсії у разі виїзду заявника за кордон на постійне місце проживання, одноразових страхових виплат та ін), здійснення оформлення анкет на виготовлення пенсійних посвідчень та їх видача та довідок про доходи, про перебування (не перебування) на обліку, виписки з РЗО, витяги з реєстру судових рішень;</w:t>
            </w:r>
          </w:p>
          <w:p>
            <w:pPr>
              <w:pStyle w:val="Normal"/>
              <w:widowControl w:val="false"/>
              <w:suppressAutoHyphens w:val="true"/>
              <w:overflowPunct w:val="true"/>
              <w:bidi w:val="0"/>
              <w:spacing w:before="0" w:after="0"/>
              <w:ind w:left="57" w:right="283" w:firstLine="510"/>
              <w:jc w:val="both"/>
              <w:textAlignment w:val="baseline"/>
              <w:rPr>
                <w:sz w:val="26"/>
                <w:szCs w:val="26"/>
              </w:rPr>
            </w:pPr>
            <w:r>
              <w:rPr>
                <w:b w:val="false"/>
                <w:i w:val="false"/>
                <w:strike w:val="false"/>
                <w:dstrike w:val="false"/>
                <w:outline w:val="false"/>
                <w:shadow w:val="false"/>
                <w:color w:val="000000"/>
                <w:sz w:val="26"/>
                <w:szCs w:val="26"/>
                <w:u w:val="none"/>
                <w:em w:val="none"/>
              </w:rPr>
              <w:t>3) Забезпечення підготовки запитів щодо підтвердження стажу, заробітку та з інших питань, що стосуються призначення чи перерахунку пенсії на вимогу заявника, підприємств, установ та організацій, здійснення прийому документів від осіб, які набувають право на пенсію на території договірної сторони (міжнародні пенсії), визначення їх права на пенсійне забезпечення, при необхідності здійснення ініціювання проведення перевірок обґрунтованості видачі документів;</w:t>
            </w:r>
          </w:p>
          <w:p>
            <w:pPr>
              <w:pStyle w:val="Normal"/>
              <w:widowControl w:val="false"/>
              <w:suppressAutoHyphens w:val="true"/>
              <w:overflowPunct w:val="true"/>
              <w:bidi w:val="0"/>
              <w:spacing w:before="0" w:after="0"/>
              <w:ind w:left="57" w:right="283" w:firstLine="510"/>
              <w:jc w:val="both"/>
              <w:textAlignment w:val="baseline"/>
              <w:rPr>
                <w:sz w:val="26"/>
                <w:szCs w:val="26"/>
              </w:rPr>
            </w:pPr>
            <w:r>
              <w:rPr>
                <w:b w:val="false"/>
                <w:i w:val="false"/>
                <w:strike w:val="false"/>
                <w:dstrike w:val="false"/>
                <w:outline w:val="false"/>
                <w:shadow w:val="false"/>
                <w:color w:val="000000"/>
                <w:sz w:val="26"/>
                <w:szCs w:val="26"/>
                <w:u w:val="none"/>
                <w:em w:val="none"/>
              </w:rPr>
              <w:t>4) Здійснення звітності, реєстрації користувачів електронних послуг на вебпорталі, видачі кодів підтвердження та роз'яснення подальших дій для завершення процедури реєстрації на вебпорталі, забезпечення роботи “гарячих” телефонних ліній.</w:t>
            </w:r>
          </w:p>
        </w:tc>
      </w:tr>
      <w:tr>
        <w:trPr>
          <w:trHeight w:val="1312" w:hRule="atLeast"/>
        </w:trPr>
        <w:tc>
          <w:tcPr>
            <w:tcW w:w="3520" w:type="dxa"/>
            <w:gridSpan w:val="2"/>
            <w:tcBorders>
              <w:left w:val="single" w:sz="2" w:space="0" w:color="000000"/>
              <w:bottom w:val="single" w:sz="2" w:space="0" w:color="000000"/>
            </w:tcBorders>
          </w:tcPr>
          <w:p>
            <w:pPr>
              <w:pStyle w:val="Style19"/>
              <w:widowControl w:val="false"/>
              <w:jc w:val="both"/>
              <w:rPr>
                <w:sz w:val="26"/>
                <w:szCs w:val="26"/>
              </w:rPr>
            </w:pPr>
            <w:r>
              <w:rPr>
                <w:sz w:val="26"/>
                <w:szCs w:val="26"/>
              </w:rPr>
              <w:t>Умови оплати праці</w:t>
            </w:r>
          </w:p>
        </w:tc>
        <w:tc>
          <w:tcPr>
            <w:tcW w:w="6185" w:type="dxa"/>
            <w:tcBorders>
              <w:left w:val="single" w:sz="2" w:space="0" w:color="000000"/>
              <w:bottom w:val="single" w:sz="2" w:space="0" w:color="000000"/>
              <w:right w:val="single" w:sz="2" w:space="0" w:color="000000"/>
            </w:tcBorders>
          </w:tcPr>
          <w:p>
            <w:pPr>
              <w:pStyle w:val="Normal"/>
              <w:widowControl w:val="false"/>
              <w:suppressAutoHyphens w:val="true"/>
              <w:overflowPunct w:val="true"/>
              <w:bidi w:val="0"/>
              <w:spacing w:lineRule="auto" w:line="240" w:before="0" w:after="0"/>
              <w:ind w:left="57" w:right="57" w:firstLine="567"/>
              <w:jc w:val="both"/>
              <w:rPr>
                <w:sz w:val="26"/>
                <w:szCs w:val="26"/>
              </w:rPr>
            </w:pPr>
            <w:r>
              <w:rPr>
                <w:rFonts w:cs="Times New Roman"/>
                <w:sz w:val="26"/>
                <w:szCs w:val="26"/>
                <w:lang w:val="uk-UA"/>
              </w:rPr>
              <w:t>П</w:t>
            </w:r>
            <w:r>
              <w:rPr>
                <w:rFonts w:cs="Times New Roman"/>
                <w:sz w:val="26"/>
                <w:szCs w:val="26"/>
              </w:rPr>
              <w:t>осадовий оклад — 12305,00</w:t>
            </w:r>
            <w:r>
              <w:rPr>
                <w:rFonts w:eastAsia="Times New Roman" w:cs="Times New Roman"/>
                <w:color w:val="00000A"/>
                <w:kern w:val="0"/>
                <w:sz w:val="26"/>
                <w:szCs w:val="26"/>
                <w:lang w:val="uk-UA" w:eastAsia="zh-CN" w:bidi="ar-SA"/>
              </w:rPr>
              <w:t xml:space="preserve"> грн згідно зі штатним розписом;</w:t>
            </w:r>
          </w:p>
          <w:p>
            <w:pPr>
              <w:pStyle w:val="Normal"/>
              <w:widowControl w:val="false"/>
              <w:suppressAutoHyphens w:val="true"/>
              <w:overflowPunct w:val="true"/>
              <w:bidi w:val="0"/>
              <w:spacing w:lineRule="auto" w:line="240" w:before="0" w:after="0"/>
              <w:ind w:left="57" w:right="57" w:firstLine="567"/>
              <w:jc w:val="both"/>
              <w:rPr>
                <w:sz w:val="26"/>
                <w:szCs w:val="26"/>
              </w:rPr>
            </w:pPr>
            <w:r>
              <w:rPr>
                <w:rFonts w:eastAsia="Times New Roman" w:cs="Times New Roman"/>
                <w:color w:val="00000A"/>
                <w:kern w:val="0"/>
                <w:sz w:val="26"/>
                <w:szCs w:val="26"/>
                <w:lang w:val="uk-UA" w:eastAsia="zh-CN" w:bidi="ar-SA"/>
              </w:rPr>
              <w:t>доплати, компенсації відповідно до статті 52 Закону України “Про державну службу”;</w:t>
            </w:r>
          </w:p>
          <w:p>
            <w:pPr>
              <w:pStyle w:val="Normal"/>
              <w:widowControl w:val="false"/>
              <w:suppressAutoHyphens w:val="true"/>
              <w:overflowPunct w:val="true"/>
              <w:bidi w:val="0"/>
              <w:spacing w:lineRule="auto" w:line="240" w:before="0" w:after="0"/>
              <w:ind w:left="57" w:right="57" w:firstLine="567"/>
              <w:jc w:val="both"/>
              <w:rPr>
                <w:sz w:val="26"/>
                <w:szCs w:val="26"/>
              </w:rPr>
            </w:pPr>
            <w:r>
              <w:rPr>
                <w:rFonts w:eastAsia="Times New Roman" w:cs="Times New Roman"/>
                <w:color w:val="00000A"/>
                <w:kern w:val="0"/>
                <w:sz w:val="26"/>
                <w:szCs w:val="26"/>
                <w:lang w:val="uk-UA" w:eastAsia="zh-CN" w:bidi="ar-SA"/>
              </w:rPr>
              <w:t>надбавка за вислугу років, премія та грошова допомога відповідно до прикінцевих положень Закону України “Про державний Бюджет України на 2025 рік;</w:t>
            </w:r>
          </w:p>
          <w:p>
            <w:pPr>
              <w:pStyle w:val="Normal"/>
              <w:widowControl w:val="false"/>
              <w:suppressAutoHyphens w:val="true"/>
              <w:overflowPunct w:val="true"/>
              <w:bidi w:val="0"/>
              <w:spacing w:lineRule="auto" w:line="240" w:before="0" w:after="0"/>
              <w:ind w:left="57" w:right="57" w:firstLine="567"/>
              <w:jc w:val="both"/>
              <w:rPr>
                <w:sz w:val="26"/>
                <w:szCs w:val="26"/>
              </w:rPr>
            </w:pPr>
            <w:r>
              <w:rPr>
                <w:rFonts w:eastAsia="Times New Roman" w:cs="Times New Roman"/>
                <w:color w:val="00000A"/>
                <w:kern w:val="0"/>
                <w:sz w:val="26"/>
                <w:szCs w:val="26"/>
                <w:lang w:val="uk-UA" w:eastAsia="zh-CN" w:bidi="ar-SA"/>
              </w:rPr>
              <w:t>надбавка до посадового окладу за ранг державного службовця відповідно до постанови Кабінету Міністрів України від 18 січня 2017 року № 15 “Питання оплати праці працівників державних органів” (зі змінами).</w:t>
            </w:r>
          </w:p>
        </w:tc>
      </w:tr>
      <w:tr>
        <w:trPr/>
        <w:tc>
          <w:tcPr>
            <w:tcW w:w="3520" w:type="dxa"/>
            <w:gridSpan w:val="2"/>
            <w:tcBorders>
              <w:left w:val="single" w:sz="2" w:space="0" w:color="000000"/>
              <w:bottom w:val="single" w:sz="2" w:space="0" w:color="000000"/>
            </w:tcBorders>
          </w:tcPr>
          <w:p>
            <w:pPr>
              <w:pStyle w:val="Style19"/>
              <w:widowControl w:val="false"/>
              <w:jc w:val="both"/>
              <w:rPr>
                <w:sz w:val="26"/>
                <w:szCs w:val="26"/>
              </w:rPr>
            </w:pPr>
            <w:r>
              <w:rPr>
                <w:sz w:val="26"/>
                <w:szCs w:val="26"/>
                <w:lang w:val="uk-UA"/>
              </w:rPr>
              <w:t>Інформація про строковість чи безстроковість призначення на посаду</w:t>
            </w:r>
          </w:p>
        </w:tc>
        <w:tc>
          <w:tcPr>
            <w:tcW w:w="6185" w:type="dxa"/>
            <w:tcBorders>
              <w:left w:val="single" w:sz="2" w:space="0" w:color="000000"/>
              <w:bottom w:val="single" w:sz="2" w:space="0" w:color="000000"/>
              <w:right w:val="single" w:sz="2" w:space="0" w:color="000000"/>
            </w:tcBorders>
          </w:tcPr>
          <w:p>
            <w:pPr>
              <w:pStyle w:val="Style19"/>
              <w:widowControl w:val="false"/>
              <w:suppressLineNumbers/>
              <w:suppressAutoHyphens w:val="true"/>
              <w:overflowPunct w:val="true"/>
              <w:bidi w:val="0"/>
              <w:spacing w:before="0" w:after="0"/>
              <w:ind w:left="113" w:right="113" w:firstLine="510"/>
              <w:jc w:val="both"/>
              <w:rPr>
                <w:sz w:val="26"/>
                <w:szCs w:val="26"/>
              </w:rPr>
            </w:pPr>
            <w:r>
              <w:rPr>
                <w:rFonts w:eastAsia="Times New Roman" w:cs="Times New Roman"/>
                <w:color w:val="00000A"/>
                <w:kern w:val="0"/>
                <w:sz w:val="26"/>
                <w:szCs w:val="26"/>
                <w:lang w:val="uk-UA" w:eastAsia="zh-CN" w:bidi="ar-SA"/>
              </w:rPr>
              <w:t>Призначення на посаду строкове - до призначення на цю посаду переможця конкурсу, але не більше ніж 12 місяців з дня  припинення чи скасування воєнного стану; при призначенні на посаду встановлюється випробування строком від 1 до 6 місяців; прийняття на роботу призовників, військовозобов’язаних та резервістів здійснюється тільки після взяття їх на військовий облік у районних (міських) територіальних центрах комплектування та соціальної підтримки.</w:t>
            </w:r>
          </w:p>
        </w:tc>
      </w:tr>
      <w:tr>
        <w:trPr/>
        <w:tc>
          <w:tcPr>
            <w:tcW w:w="3520" w:type="dxa"/>
            <w:gridSpan w:val="2"/>
            <w:tcBorders>
              <w:left w:val="single" w:sz="2" w:space="0" w:color="000000"/>
              <w:bottom w:val="single" w:sz="2" w:space="0" w:color="000000"/>
            </w:tcBorders>
          </w:tcPr>
          <w:p>
            <w:pPr>
              <w:pStyle w:val="Style19"/>
              <w:widowControl w:val="false"/>
              <w:suppressLineNumbers/>
              <w:suppressAutoHyphens w:val="true"/>
              <w:overflowPunct w:val="true"/>
              <w:bidi w:val="0"/>
              <w:spacing w:before="0" w:after="0"/>
              <w:ind w:left="0" w:right="0" w:hanging="57"/>
              <w:jc w:val="both"/>
              <w:rPr>
                <w:sz w:val="26"/>
                <w:szCs w:val="26"/>
              </w:rPr>
            </w:pPr>
            <w:r>
              <w:rPr>
                <w:sz w:val="26"/>
                <w:szCs w:val="26"/>
              </w:rPr>
              <w:t xml:space="preserve">Перелік інформації необхідної для участі </w:t>
            </w:r>
            <w:r>
              <w:rPr>
                <w:rFonts w:eastAsia="Times New Roman" w:cs="Times New Roman"/>
                <w:color w:val="00000A"/>
                <w:kern w:val="0"/>
                <w:sz w:val="26"/>
                <w:szCs w:val="26"/>
                <w:lang w:val="uk-UA" w:eastAsia="zh-CN" w:bidi="ar-SA"/>
              </w:rPr>
              <w:t>у доборі</w:t>
            </w:r>
            <w:r>
              <w:rPr>
                <w:sz w:val="26"/>
                <w:szCs w:val="26"/>
              </w:rPr>
              <w:t>, та строк її подання</w:t>
            </w:r>
          </w:p>
        </w:tc>
        <w:tc>
          <w:tcPr>
            <w:tcW w:w="6185" w:type="dxa"/>
            <w:tcBorders>
              <w:left w:val="single" w:sz="2" w:space="0" w:color="000000"/>
              <w:bottom w:val="single" w:sz="2" w:space="0" w:color="000000"/>
              <w:right w:val="single" w:sz="2" w:space="0" w:color="000000"/>
            </w:tcBorders>
          </w:tcPr>
          <w:p>
            <w:pPr>
              <w:pStyle w:val="Style25"/>
              <w:widowControl w:val="false"/>
              <w:suppressAutoHyphens w:val="true"/>
              <w:overflowPunct w:val="true"/>
              <w:bidi w:val="0"/>
              <w:spacing w:lineRule="auto" w:line="240" w:before="0" w:after="0"/>
              <w:ind w:left="0" w:right="57" w:firstLine="624"/>
              <w:jc w:val="both"/>
              <w:rPr>
                <w:sz w:val="26"/>
                <w:szCs w:val="26"/>
              </w:rPr>
            </w:pPr>
            <w:r>
              <w:rPr>
                <w:rFonts w:cs="Times New Roman"/>
                <w:bCs/>
                <w:sz w:val="26"/>
                <w:szCs w:val="26"/>
              </w:rPr>
              <w:t xml:space="preserve">Особа, яка бажає взяти участь у доборі, подає </w:t>
            </w:r>
            <w:r>
              <w:rPr>
                <w:rFonts w:eastAsia="Times New Roman" w:cs="Times New Roman"/>
                <w:bCs/>
                <w:color w:val="00000A"/>
                <w:kern w:val="0"/>
                <w:sz w:val="26"/>
                <w:szCs w:val="26"/>
                <w:lang w:val="uk-UA" w:eastAsia="zh-CN" w:bidi="ar-SA"/>
              </w:rPr>
              <w:t>Управлінню по роботі з персоналом</w:t>
            </w:r>
            <w:r>
              <w:rPr>
                <w:rFonts w:cs="Times New Roman"/>
                <w:bCs/>
                <w:sz w:val="26"/>
                <w:szCs w:val="26"/>
              </w:rPr>
              <w:t>:</w:t>
            </w:r>
          </w:p>
          <w:p>
            <w:pPr>
              <w:pStyle w:val="Style25"/>
              <w:widowControl w:val="false"/>
              <w:suppressAutoHyphens w:val="true"/>
              <w:overflowPunct w:val="true"/>
              <w:bidi w:val="0"/>
              <w:spacing w:lineRule="auto" w:line="240" w:before="0" w:after="0"/>
              <w:ind w:left="0" w:right="57" w:firstLine="567"/>
              <w:jc w:val="both"/>
              <w:rPr>
                <w:sz w:val="26"/>
                <w:szCs w:val="26"/>
              </w:rPr>
            </w:pPr>
            <w:r>
              <w:rPr>
                <w:rFonts w:cs="Times New Roman"/>
                <w:bCs/>
                <w:color w:val="000000"/>
                <w:sz w:val="26"/>
                <w:szCs w:val="26"/>
                <w:highlight w:val="white"/>
              </w:rPr>
              <w:t>заяв</w:t>
            </w:r>
            <w:r>
              <w:rPr>
                <w:rFonts w:eastAsia="Times New Roman" w:cs="Times New Roman"/>
                <w:bCs/>
                <w:color w:val="000000"/>
                <w:kern w:val="0"/>
                <w:sz w:val="26"/>
                <w:szCs w:val="26"/>
                <w:highlight w:val="white"/>
                <w:lang w:val="uk-UA" w:eastAsia="zh-CN" w:bidi="ar-SA"/>
              </w:rPr>
              <w:t>у;</w:t>
            </w:r>
          </w:p>
          <w:p>
            <w:pPr>
              <w:pStyle w:val="Style25"/>
              <w:widowControl w:val="false"/>
              <w:suppressAutoHyphens w:val="true"/>
              <w:overflowPunct w:val="true"/>
              <w:bidi w:val="0"/>
              <w:spacing w:lineRule="auto" w:line="240" w:before="0" w:after="0"/>
              <w:ind w:left="0" w:right="57" w:firstLine="567"/>
              <w:jc w:val="both"/>
              <w:rPr>
                <w:sz w:val="26"/>
                <w:szCs w:val="26"/>
              </w:rPr>
            </w:pPr>
            <w:r>
              <w:rPr>
                <w:rFonts w:eastAsia="Times New Roman" w:cs="Times New Roman"/>
                <w:bCs/>
                <w:color w:val="000000"/>
                <w:kern w:val="0"/>
                <w:sz w:val="26"/>
                <w:szCs w:val="26"/>
                <w:highlight w:val="white"/>
                <w:lang w:val="uk-UA" w:eastAsia="zh-CN" w:bidi="ar-SA"/>
              </w:rPr>
              <w:t>резюме;</w:t>
            </w:r>
          </w:p>
          <w:p>
            <w:pPr>
              <w:pStyle w:val="Style25"/>
              <w:widowControl w:val="false"/>
              <w:suppressAutoHyphens w:val="true"/>
              <w:overflowPunct w:val="true"/>
              <w:bidi w:val="0"/>
              <w:spacing w:lineRule="auto" w:line="240" w:before="0" w:after="0"/>
              <w:ind w:left="0" w:right="57" w:firstLine="567"/>
              <w:jc w:val="both"/>
              <w:rPr>
                <w:sz w:val="26"/>
                <w:szCs w:val="26"/>
              </w:rPr>
            </w:pPr>
            <w:r>
              <w:rPr>
                <w:rFonts w:cs="Times New Roman"/>
                <w:bCs/>
                <w:color w:val="000000"/>
                <w:sz w:val="26"/>
                <w:szCs w:val="26"/>
                <w:highlight w:val="white"/>
              </w:rPr>
              <w:t>заповнен</w:t>
            </w:r>
            <w:r>
              <w:rPr>
                <w:rFonts w:eastAsia="Times New Roman" w:cs="Times New Roman"/>
                <w:bCs/>
                <w:color w:val="000000"/>
                <w:kern w:val="0"/>
                <w:sz w:val="26"/>
                <w:szCs w:val="26"/>
                <w:highlight w:val="white"/>
                <w:lang w:val="uk-UA" w:eastAsia="zh-CN" w:bidi="ar-SA"/>
              </w:rPr>
              <w:t>у</w:t>
            </w:r>
            <w:r>
              <w:rPr>
                <w:rFonts w:cs="Times New Roman"/>
                <w:bCs/>
                <w:color w:val="000000"/>
                <w:sz w:val="26"/>
                <w:szCs w:val="26"/>
                <w:highlight w:val="white"/>
              </w:rPr>
              <w:t xml:space="preserve"> особов</w:t>
            </w:r>
            <w:r>
              <w:rPr>
                <w:rFonts w:eastAsia="Times New Roman" w:cs="Times New Roman"/>
                <w:bCs/>
                <w:color w:val="000000"/>
                <w:kern w:val="0"/>
                <w:sz w:val="26"/>
                <w:szCs w:val="26"/>
                <w:highlight w:val="white"/>
                <w:lang w:val="uk-UA" w:eastAsia="zh-CN" w:bidi="ar-SA"/>
              </w:rPr>
              <w:t>у</w:t>
            </w:r>
            <w:r>
              <w:rPr>
                <w:rFonts w:cs="Times New Roman"/>
                <w:bCs/>
                <w:color w:val="000000"/>
                <w:sz w:val="26"/>
                <w:szCs w:val="26"/>
                <w:highlight w:val="white"/>
              </w:rPr>
              <w:t xml:space="preserve"> картк</w:t>
            </w:r>
            <w:r>
              <w:rPr>
                <w:rFonts w:eastAsia="Times New Roman" w:cs="Times New Roman"/>
                <w:bCs/>
                <w:color w:val="000000"/>
                <w:kern w:val="0"/>
                <w:sz w:val="26"/>
                <w:szCs w:val="26"/>
                <w:highlight w:val="white"/>
                <w:lang w:val="uk-UA" w:eastAsia="zh-CN" w:bidi="ar-SA"/>
              </w:rPr>
              <w:t>у</w:t>
            </w:r>
            <w:r>
              <w:rPr>
                <w:rFonts w:cs="Times New Roman"/>
                <w:bCs/>
                <w:color w:val="000000"/>
                <w:sz w:val="26"/>
                <w:szCs w:val="26"/>
                <w:highlight w:val="white"/>
              </w:rPr>
              <w:t xml:space="preserve"> встановленого зразка;</w:t>
            </w:r>
          </w:p>
          <w:p>
            <w:pPr>
              <w:pStyle w:val="Style25"/>
              <w:widowControl w:val="false"/>
              <w:tabs>
                <w:tab w:val="clear" w:pos="720"/>
                <w:tab w:val="left" w:pos="0" w:leader="none"/>
                <w:tab w:val="left" w:pos="330" w:leader="none"/>
              </w:tabs>
              <w:suppressAutoHyphens w:val="true"/>
              <w:overflowPunct w:val="true"/>
              <w:bidi w:val="0"/>
              <w:spacing w:lineRule="auto" w:line="240" w:before="0" w:after="0"/>
              <w:ind w:left="57" w:right="0" w:firstLine="454"/>
              <w:jc w:val="both"/>
              <w:rPr>
                <w:sz w:val="26"/>
                <w:szCs w:val="26"/>
              </w:rPr>
            </w:pPr>
            <w:r>
              <w:rPr>
                <w:rFonts w:cs="Times New Roman"/>
                <w:bCs/>
                <w:color w:val="000000"/>
                <w:sz w:val="26"/>
                <w:szCs w:val="26"/>
                <w:highlight w:val="white"/>
              </w:rPr>
              <w:t>документ</w:t>
            </w:r>
            <w:r>
              <w:rPr>
                <w:rFonts w:eastAsia="Times New Roman" w:cs="Times New Roman"/>
                <w:bCs/>
                <w:color w:val="000000"/>
                <w:kern w:val="0"/>
                <w:sz w:val="26"/>
                <w:szCs w:val="26"/>
                <w:highlight w:val="white"/>
                <w:lang w:val="uk-UA" w:eastAsia="zh-CN" w:bidi="ar-SA"/>
              </w:rPr>
              <w:t>и</w:t>
            </w:r>
            <w:r>
              <w:rPr>
                <w:rFonts w:cs="Times New Roman"/>
                <w:bCs/>
                <w:color w:val="000000"/>
                <w:sz w:val="26"/>
                <w:szCs w:val="26"/>
                <w:highlight w:val="white"/>
              </w:rPr>
              <w:t>, що підтверджують наявність громадянства України, освіти та досвіду роботи згідно з вимогами законодавства, встановленими щодо відповідних посад, а також за наявності у Єдиному державному реєстрі декларацій осіб, уповноважених на виконання функцій держави або місцевого самоврядування, декларації особи, уповноваженої на виконання функцій держави або місцевого самоврядування, за минулий рік.</w:t>
            </w:r>
          </w:p>
          <w:p>
            <w:pPr>
              <w:pStyle w:val="Normal"/>
              <w:widowControl w:val="false"/>
              <w:tabs>
                <w:tab w:val="clear" w:pos="720"/>
                <w:tab w:val="left" w:pos="0" w:leader="none"/>
                <w:tab w:val="left" w:pos="330" w:leader="none"/>
              </w:tabs>
              <w:suppressAutoHyphens w:val="true"/>
              <w:overflowPunct w:val="true"/>
              <w:bidi w:val="0"/>
              <w:spacing w:lineRule="auto" w:line="240" w:before="0" w:after="0"/>
              <w:ind w:left="57" w:right="0" w:firstLine="454"/>
              <w:jc w:val="both"/>
              <w:rPr>
                <w:sz w:val="26"/>
                <w:szCs w:val="26"/>
              </w:rPr>
            </w:pPr>
            <w:r>
              <w:rPr>
                <w:rFonts w:eastAsia="Times New Roman" w:cs="Times New Roman"/>
                <w:bCs/>
                <w:color w:val="111111"/>
                <w:kern w:val="0"/>
                <w:sz w:val="26"/>
                <w:szCs w:val="26"/>
                <w:lang w:val="uk-UA" w:eastAsia="zh-CN" w:bidi="ar-SA"/>
              </w:rPr>
              <w:t>Документи</w:t>
            </w:r>
            <w:r>
              <w:rPr>
                <w:rFonts w:cs="Times New Roman"/>
                <w:bCs/>
                <w:color w:val="111111"/>
                <w:sz w:val="26"/>
                <w:szCs w:val="26"/>
              </w:rPr>
              <w:t xml:space="preserve"> прийма</w:t>
            </w:r>
            <w:r>
              <w:rPr>
                <w:rFonts w:eastAsia="Times New Roman" w:cs="Times New Roman"/>
                <w:bCs/>
                <w:color w:val="111111"/>
                <w:kern w:val="0"/>
                <w:sz w:val="26"/>
                <w:szCs w:val="26"/>
                <w:lang w:val="uk-UA" w:eastAsia="zh-CN" w:bidi="ar-SA"/>
              </w:rPr>
              <w:t>ю</w:t>
            </w:r>
            <w:r>
              <w:rPr>
                <w:rFonts w:cs="Times New Roman"/>
                <w:bCs/>
                <w:color w:val="111111"/>
                <w:sz w:val="26"/>
                <w:szCs w:val="26"/>
              </w:rPr>
              <w:t xml:space="preserve">ться </w:t>
            </w:r>
            <w:r>
              <w:rPr>
                <w:rFonts w:cs="Times New Roman"/>
                <w:bCs/>
                <w:color w:val="000000"/>
                <w:spacing w:val="-6"/>
                <w:sz w:val="26"/>
                <w:szCs w:val="26"/>
              </w:rPr>
              <w:t>до</w:t>
            </w:r>
            <w:r>
              <w:rPr>
                <w:rFonts w:eastAsia="Times New Roman" w:cs="Times New Roman"/>
                <w:bCs/>
                <w:color w:val="000000"/>
                <w:spacing w:val="-6"/>
                <w:sz w:val="26"/>
                <w:szCs w:val="26"/>
                <w:lang w:val="en-US"/>
              </w:rPr>
              <w:t>15</w:t>
            </w:r>
            <w:r>
              <w:rPr>
                <w:rFonts w:eastAsia="Times New Roman" w:cs="Times New Roman"/>
                <w:bCs/>
                <w:color w:val="000000"/>
                <w:spacing w:val="-6"/>
                <w:sz w:val="26"/>
                <w:szCs w:val="26"/>
              </w:rPr>
              <w:t>:45</w:t>
            </w:r>
            <w:r>
              <w:rPr>
                <w:rFonts w:cs="Times New Roman"/>
                <w:bCs/>
                <w:color w:val="000000"/>
                <w:spacing w:val="-6"/>
                <w:sz w:val="26"/>
                <w:szCs w:val="26"/>
              </w:rPr>
              <w:t xml:space="preserve"> години </w:t>
            </w:r>
            <w:r>
              <w:rPr>
                <w:rFonts w:eastAsia="Times New Roman" w:cs="Times New Roman"/>
                <w:bCs/>
                <w:color w:val="000000"/>
                <w:spacing w:val="-6"/>
                <w:sz w:val="26"/>
                <w:szCs w:val="26"/>
              </w:rPr>
              <w:t>21 лютого</w:t>
            </w:r>
            <w:r>
              <w:rPr>
                <w:rFonts w:cs="Times New Roman"/>
                <w:bCs/>
                <w:color w:val="000000"/>
                <w:spacing w:val="-6"/>
                <w:sz w:val="26"/>
                <w:szCs w:val="26"/>
              </w:rPr>
              <w:t xml:space="preserve"> 202</w:t>
            </w:r>
            <w:r>
              <w:rPr>
                <w:rFonts w:eastAsia="Times New Roman" w:cs="Times New Roman"/>
                <w:bCs/>
                <w:color w:val="000000"/>
                <w:spacing w:val="-6"/>
                <w:sz w:val="26"/>
                <w:szCs w:val="26"/>
              </w:rPr>
              <w:t>5</w:t>
            </w:r>
            <w:r>
              <w:rPr>
                <w:rFonts w:cs="Times New Roman"/>
                <w:bCs/>
                <w:color w:val="000000"/>
                <w:spacing w:val="-6"/>
                <w:sz w:val="26"/>
                <w:szCs w:val="26"/>
              </w:rPr>
              <w:t xml:space="preserve"> </w:t>
            </w:r>
            <w:r>
              <w:rPr>
                <w:rFonts w:cs="Times New Roman"/>
                <w:bCs/>
                <w:color w:val="C9211E"/>
                <w:spacing w:val="-6"/>
                <w:sz w:val="26"/>
                <w:szCs w:val="26"/>
              </w:rPr>
              <w:t xml:space="preserve"> </w:t>
            </w:r>
            <w:r>
              <w:rPr>
                <w:rFonts w:cs="Times New Roman"/>
                <w:bCs/>
                <w:color w:val="000000"/>
                <w:spacing w:val="-6"/>
                <w:sz w:val="26"/>
                <w:szCs w:val="26"/>
              </w:rPr>
              <w:t>року включно.</w:t>
            </w:r>
          </w:p>
        </w:tc>
      </w:tr>
      <w:tr>
        <w:trPr/>
        <w:tc>
          <w:tcPr>
            <w:tcW w:w="3520" w:type="dxa"/>
            <w:gridSpan w:val="2"/>
            <w:tcBorders>
              <w:left w:val="single" w:sz="2" w:space="0" w:color="000000"/>
              <w:bottom w:val="single" w:sz="2" w:space="0" w:color="000000"/>
            </w:tcBorders>
          </w:tcPr>
          <w:p>
            <w:pPr>
              <w:pStyle w:val="Style19"/>
              <w:widowControl w:val="false"/>
              <w:jc w:val="both"/>
              <w:rPr>
                <w:sz w:val="26"/>
                <w:szCs w:val="26"/>
              </w:rPr>
            </w:pPr>
            <w:r>
              <w:rPr>
                <w:sz w:val="26"/>
                <w:szCs w:val="26"/>
              </w:rPr>
              <w:t>Місце або спосіб проведення співбесіди (із зазначенням електронної платформи для комунікації дистанційно)</w:t>
            </w:r>
          </w:p>
        </w:tc>
        <w:tc>
          <w:tcPr>
            <w:tcW w:w="6185" w:type="dxa"/>
            <w:tcBorders>
              <w:left w:val="single" w:sz="2" w:space="0" w:color="000000"/>
              <w:bottom w:val="single" w:sz="2" w:space="0" w:color="000000"/>
              <w:right w:val="single" w:sz="2" w:space="0" w:color="000000"/>
            </w:tcBorders>
          </w:tcPr>
          <w:p>
            <w:pPr>
              <w:pStyle w:val="Normal"/>
              <w:widowControl w:val="false"/>
              <w:suppressAutoHyphens w:val="true"/>
              <w:overflowPunct w:val="true"/>
              <w:bidi w:val="0"/>
              <w:spacing w:lineRule="auto" w:line="240" w:before="0" w:after="0"/>
              <w:ind w:left="0" w:right="113" w:firstLine="454"/>
              <w:jc w:val="both"/>
              <w:rPr>
                <w:sz w:val="26"/>
                <w:szCs w:val="26"/>
              </w:rPr>
            </w:pPr>
            <w:r>
              <w:rPr>
                <w:rFonts w:cs="Times New Roman"/>
                <w:b w:val="false"/>
                <w:bCs w:val="false"/>
                <w:color w:val="111111"/>
                <w:sz w:val="26"/>
                <w:szCs w:val="26"/>
              </w:rPr>
              <w:t xml:space="preserve">Співбесіда </w:t>
            </w:r>
            <w:r>
              <w:rPr>
                <w:rFonts w:eastAsia="Times New Roman" w:cs="Times New Roman"/>
                <w:b w:val="false"/>
                <w:bCs w:val="false"/>
                <w:i w:val="false"/>
                <w:iCs w:val="false"/>
                <w:strike w:val="false"/>
                <w:dstrike w:val="false"/>
                <w:outline w:val="false"/>
                <w:shadow w:val="false"/>
                <w:color w:val="111111"/>
                <w:sz w:val="26"/>
                <w:szCs w:val="26"/>
                <w:highlight w:val="white"/>
                <w:u w:val="none"/>
                <w:lang w:val="uk-UA" w:eastAsia="zh-CN" w:bidi="ar-SA"/>
              </w:rPr>
              <w:t xml:space="preserve"> </w:t>
            </w:r>
            <w:r>
              <w:rPr>
                <w:rFonts w:cs="Times New Roman"/>
                <w:b w:val="false"/>
                <w:bCs w:val="false"/>
                <w:color w:val="111111"/>
                <w:sz w:val="26"/>
                <w:szCs w:val="26"/>
              </w:rPr>
              <w:t xml:space="preserve">відбудеться </w:t>
            </w:r>
            <w:r>
              <w:rPr>
                <w:rFonts w:eastAsia="Times New Roman" w:cs="Times New Roman"/>
                <w:b w:val="false"/>
                <w:bCs w:val="false"/>
                <w:color w:val="000000"/>
                <w:kern w:val="0"/>
                <w:sz w:val="26"/>
                <w:szCs w:val="26"/>
                <w:lang w:val="uk-UA" w:eastAsia="zh-CN" w:bidi="ar-SA"/>
              </w:rPr>
              <w:t>24 лютого 2025</w:t>
            </w:r>
            <w:r>
              <w:rPr>
                <w:rFonts w:cs="Times New Roman"/>
                <w:color w:val="000000"/>
                <w:sz w:val="26"/>
                <w:szCs w:val="26"/>
              </w:rPr>
              <w:t xml:space="preserve"> року,</w:t>
            </w:r>
            <w:r>
              <w:rPr>
                <w:rFonts w:cs="Times New Roman"/>
                <w:color w:val="111111"/>
                <w:sz w:val="26"/>
                <w:szCs w:val="26"/>
              </w:rPr>
              <w:t xml:space="preserve"> за адресою </w:t>
            </w:r>
            <w:r>
              <w:rPr>
                <w:rFonts w:eastAsia="Times New Roman" w:cs="Times New Roman"/>
                <w:color w:val="auto"/>
                <w:sz w:val="26"/>
                <w:szCs w:val="26"/>
                <w:lang w:val="uk-UA" w:eastAsia="zh-CN" w:bidi="ar-SA"/>
              </w:rPr>
              <w:t xml:space="preserve">м. Луцьк, вул. Київський майдан, 6 </w:t>
            </w:r>
            <w:r>
              <w:rPr>
                <w:rFonts w:eastAsia="Times New Roman" w:cs="Times New Roman"/>
                <w:color w:val="000000"/>
                <w:sz w:val="26"/>
                <w:szCs w:val="26"/>
                <w:lang w:val="uk-UA" w:eastAsia="zh-CN" w:bidi="ar-SA"/>
              </w:rPr>
              <w:t xml:space="preserve">(проведення </w:t>
            </w:r>
            <w:r>
              <w:rPr>
                <w:rFonts w:eastAsia="Times New Roman" w:cs="Times New Roman"/>
                <w:color w:val="000000"/>
                <w:kern w:val="0"/>
                <w:sz w:val="26"/>
                <w:szCs w:val="26"/>
                <w:lang w:val="uk-UA" w:eastAsia="zh-CN" w:bidi="ar-SA"/>
              </w:rPr>
              <w:t>співбесіди</w:t>
            </w:r>
            <w:r>
              <w:rPr>
                <w:rFonts w:eastAsia="Times New Roman" w:cs="Times New Roman"/>
                <w:color w:val="000000"/>
                <w:sz w:val="26"/>
                <w:szCs w:val="26"/>
                <w:lang w:val="uk-UA" w:eastAsia="zh-CN" w:bidi="ar-SA"/>
              </w:rPr>
              <w:t xml:space="preserve"> за фізичної присутності кандидатів)</w:t>
            </w:r>
          </w:p>
        </w:tc>
      </w:tr>
      <w:tr>
        <w:trPr/>
        <w:tc>
          <w:tcPr>
            <w:tcW w:w="3520" w:type="dxa"/>
            <w:gridSpan w:val="2"/>
            <w:tcBorders>
              <w:left w:val="single" w:sz="2" w:space="0" w:color="000000"/>
              <w:bottom w:val="single" w:sz="2" w:space="0" w:color="000000"/>
            </w:tcBorders>
          </w:tcPr>
          <w:p>
            <w:pPr>
              <w:pStyle w:val="Style19"/>
              <w:widowControl w:val="false"/>
              <w:jc w:val="both"/>
              <w:rPr>
                <w:sz w:val="26"/>
                <w:szCs w:val="26"/>
              </w:rPr>
            </w:pPr>
            <w:r>
              <w:rPr>
                <w:sz w:val="26"/>
                <w:szCs w:val="26"/>
              </w:rPr>
              <w:t xml:space="preserve">Прізвище, ім'я та по батькові, номер телефону та адреса електронної пошти особи, яка надає додаткову інформацію з питань проведення </w:t>
            </w:r>
            <w:r>
              <w:rPr>
                <w:rFonts w:eastAsia="Times New Roman" w:cs="Times New Roman"/>
                <w:color w:val="00000A"/>
                <w:kern w:val="0"/>
                <w:sz w:val="26"/>
                <w:szCs w:val="26"/>
                <w:lang w:val="uk-UA" w:eastAsia="zh-CN" w:bidi="ar-SA"/>
              </w:rPr>
              <w:t>добору</w:t>
            </w:r>
          </w:p>
        </w:tc>
        <w:tc>
          <w:tcPr>
            <w:tcW w:w="6185" w:type="dxa"/>
            <w:tcBorders>
              <w:left w:val="single" w:sz="2" w:space="0" w:color="000000"/>
              <w:bottom w:val="single" w:sz="2" w:space="0" w:color="000000"/>
              <w:right w:val="single" w:sz="2" w:space="0" w:color="000000"/>
            </w:tcBorders>
          </w:tcPr>
          <w:p>
            <w:pPr>
              <w:pStyle w:val="Normal"/>
              <w:widowControl w:val="false"/>
              <w:suppressAutoHyphens w:val="true"/>
              <w:overflowPunct w:val="true"/>
              <w:bidi w:val="0"/>
              <w:spacing w:lineRule="auto" w:line="240" w:before="0" w:after="0"/>
              <w:ind w:left="227" w:right="227" w:hanging="227"/>
              <w:jc w:val="both"/>
              <w:rPr/>
            </w:pPr>
            <w:r>
              <w:rPr>
                <w:rFonts w:eastAsia="Times New Roman" w:cs="Times New Roman"/>
                <w:sz w:val="26"/>
                <w:szCs w:val="26"/>
              </w:rPr>
              <w:t>Левчук Володимир Михайлович,</w:t>
            </w:r>
          </w:p>
          <w:p>
            <w:pPr>
              <w:pStyle w:val="Normal"/>
              <w:widowControl w:val="false"/>
              <w:suppressAutoHyphens w:val="true"/>
              <w:overflowPunct w:val="true"/>
              <w:bidi w:val="0"/>
              <w:spacing w:lineRule="auto" w:line="240" w:before="0" w:after="0"/>
              <w:ind w:left="227" w:right="227" w:hanging="227"/>
              <w:jc w:val="both"/>
              <w:rPr/>
            </w:pPr>
            <w:r>
              <w:rPr>
                <w:rFonts w:eastAsia="Times New Roman" w:cs="Times New Roman"/>
                <w:sz w:val="26"/>
                <w:szCs w:val="26"/>
              </w:rPr>
              <w:t>Федорова Ася Феофанів</w:t>
            </w:r>
          </w:p>
          <w:p>
            <w:pPr>
              <w:pStyle w:val="Normal"/>
              <w:widowControl w:val="false"/>
              <w:spacing w:lineRule="auto" w:line="240"/>
              <w:ind w:right="170" w:hanging="0"/>
              <w:jc w:val="both"/>
              <w:rPr>
                <w:sz w:val="26"/>
                <w:szCs w:val="26"/>
              </w:rPr>
            </w:pPr>
            <w:r>
              <w:rPr>
                <w:rFonts w:eastAsia="Times New Roman" w:cs="Times New Roman"/>
                <w:sz w:val="26"/>
                <w:szCs w:val="26"/>
              </w:rPr>
              <w:t>28-10-35</w:t>
            </w:r>
          </w:p>
          <w:p>
            <w:pPr>
              <w:pStyle w:val="Normal"/>
              <w:widowControl w:val="false"/>
              <w:suppressAutoHyphens w:val="true"/>
              <w:overflowPunct w:val="true"/>
              <w:bidi w:val="0"/>
              <w:spacing w:lineRule="auto" w:line="240" w:before="0" w:after="0"/>
              <w:ind w:right="170" w:hanging="0"/>
              <w:jc w:val="both"/>
              <w:rPr>
                <w:sz w:val="26"/>
                <w:szCs w:val="26"/>
              </w:rPr>
            </w:pPr>
            <w:r>
              <w:rPr>
                <w:rFonts w:eastAsia="Times New Roman" w:cs="Times New Roman"/>
                <w:color w:val="00000A"/>
                <w:kern w:val="0"/>
                <w:sz w:val="26"/>
                <w:szCs w:val="26"/>
                <w:lang w:val="uk-UA" w:eastAsia="zh-CN" w:bidi="ar-SA"/>
              </w:rPr>
              <w:t>28-10-62</w:t>
            </w:r>
          </w:p>
          <w:p>
            <w:pPr>
              <w:pStyle w:val="Normal"/>
              <w:widowControl w:val="false"/>
              <w:spacing w:lineRule="auto" w:line="240" w:before="0" w:after="0"/>
              <w:ind w:left="0" w:right="0" w:hanging="0"/>
              <w:jc w:val="both"/>
              <w:rPr/>
            </w:pPr>
            <w:r>
              <w:rPr>
                <w:rFonts w:eastAsia="Times New Roman" w:cs="Times New Roman"/>
                <w:color w:val="000000"/>
                <w:kern w:val="0"/>
                <w:sz w:val="26"/>
                <w:szCs w:val="26"/>
                <w:shd w:fill="FFFFFF" w:val="clear"/>
                <w:lang w:val="en-US" w:eastAsia="zh-CN" w:bidi="ar-SA"/>
              </w:rPr>
              <w:t xml:space="preserve">E-mail: </w:t>
            </w:r>
            <w:hyperlink r:id="rId2">
              <w:r>
                <w:rPr>
                  <w:rStyle w:val="Style7"/>
                  <w:rFonts w:eastAsia="Times New Roman" w:cs="Times New Roman"/>
                  <w:kern w:val="0"/>
                  <w:sz w:val="26"/>
                  <w:szCs w:val="26"/>
                  <w:highlight w:val="white"/>
                  <w:lang w:val="en-US"/>
                </w:rPr>
                <w:t>personal@vl.pfu.gov.ua</w:t>
              </w:r>
            </w:hyperlink>
          </w:p>
        </w:tc>
      </w:tr>
      <w:tr>
        <w:trPr/>
        <w:tc>
          <w:tcPr>
            <w:tcW w:w="9705" w:type="dxa"/>
            <w:gridSpan w:val="3"/>
            <w:tcBorders>
              <w:left w:val="single" w:sz="2" w:space="0" w:color="000000"/>
              <w:bottom w:val="single" w:sz="2" w:space="0" w:color="000000"/>
              <w:right w:val="single" w:sz="2" w:space="0" w:color="000000"/>
            </w:tcBorders>
          </w:tcPr>
          <w:p>
            <w:pPr>
              <w:pStyle w:val="Style19"/>
              <w:widowControl w:val="false"/>
              <w:jc w:val="center"/>
              <w:rPr>
                <w:sz w:val="26"/>
                <w:szCs w:val="26"/>
              </w:rPr>
            </w:pPr>
            <w:r>
              <w:rPr>
                <w:b/>
                <w:bCs/>
                <w:sz w:val="26"/>
                <w:szCs w:val="26"/>
              </w:rPr>
              <w:t>Кваліфікаційні вимоги</w:t>
            </w:r>
          </w:p>
          <w:p>
            <w:pPr>
              <w:pStyle w:val="Style19"/>
              <w:widowControl w:val="false"/>
              <w:jc w:val="both"/>
              <w:rPr>
                <w:rFonts w:ascii="Times New Roman" w:hAnsi="Times New Roman"/>
                <w:b w:val="false"/>
                <w:b w:val="false"/>
                <w:bCs w:val="false"/>
                <w:sz w:val="26"/>
                <w:szCs w:val="26"/>
              </w:rPr>
            </w:pPr>
            <w:r>
              <w:rPr>
                <w:b w:val="false"/>
                <w:bCs w:val="false"/>
                <w:sz w:val="26"/>
                <w:szCs w:val="26"/>
              </w:rPr>
            </w:r>
          </w:p>
          <w:p>
            <w:pPr>
              <w:pStyle w:val="Normal"/>
              <w:widowControl w:val="false"/>
              <w:jc w:val="both"/>
              <w:rPr>
                <w:sz w:val="26"/>
                <w:szCs w:val="26"/>
              </w:rPr>
            </w:pPr>
            <w:r>
              <w:rPr>
                <w:b w:val="false"/>
                <w:bCs w:val="false"/>
                <w:sz w:val="26"/>
                <w:szCs w:val="26"/>
              </w:rPr>
              <w:t>Обов’язковою вимогою до осіб, які претендують на посаду є наявність громадянства України та відсутність громадянства інших держав</w:t>
            </w:r>
          </w:p>
        </w:tc>
      </w:tr>
      <w:tr>
        <w:trPr>
          <w:trHeight w:val="794" w:hRule="atLeast"/>
        </w:trPr>
        <w:tc>
          <w:tcPr>
            <w:tcW w:w="559" w:type="dxa"/>
            <w:tcBorders>
              <w:left w:val="single" w:sz="2" w:space="0" w:color="000000"/>
              <w:bottom w:val="single" w:sz="2" w:space="0" w:color="000000"/>
            </w:tcBorders>
          </w:tcPr>
          <w:p>
            <w:pPr>
              <w:pStyle w:val="Style19"/>
              <w:widowControl w:val="false"/>
              <w:jc w:val="both"/>
              <w:rPr>
                <w:sz w:val="26"/>
                <w:szCs w:val="26"/>
              </w:rPr>
            </w:pPr>
            <w:r>
              <w:rPr>
                <w:sz w:val="26"/>
                <w:szCs w:val="26"/>
              </w:rPr>
              <w:t>1.</w:t>
            </w:r>
          </w:p>
        </w:tc>
        <w:tc>
          <w:tcPr>
            <w:tcW w:w="2961" w:type="dxa"/>
            <w:tcBorders>
              <w:left w:val="single" w:sz="2" w:space="0" w:color="000000"/>
              <w:bottom w:val="single" w:sz="2" w:space="0" w:color="000000"/>
            </w:tcBorders>
          </w:tcPr>
          <w:p>
            <w:pPr>
              <w:pStyle w:val="Style19"/>
              <w:widowControl w:val="false"/>
              <w:jc w:val="both"/>
              <w:rPr>
                <w:sz w:val="26"/>
                <w:szCs w:val="26"/>
              </w:rPr>
            </w:pPr>
            <w:r>
              <w:rPr>
                <w:sz w:val="26"/>
                <w:szCs w:val="26"/>
              </w:rPr>
              <w:t>Освіта</w:t>
            </w:r>
          </w:p>
        </w:tc>
        <w:tc>
          <w:tcPr>
            <w:tcW w:w="6185" w:type="dxa"/>
            <w:tcBorders>
              <w:left w:val="single" w:sz="2" w:space="0" w:color="000000"/>
              <w:bottom w:val="single" w:sz="2" w:space="0" w:color="000000"/>
              <w:right w:val="single" w:sz="2" w:space="0" w:color="000000"/>
            </w:tcBorders>
          </w:tcPr>
          <w:p>
            <w:pPr>
              <w:pStyle w:val="Normal"/>
              <w:widowControl w:val="false"/>
              <w:shd w:val="clear" w:fill="FFFFFF"/>
              <w:tabs>
                <w:tab w:val="clear" w:pos="720"/>
                <w:tab w:val="left" w:pos="823" w:leader="none"/>
                <w:tab w:val="left" w:pos="8221" w:leader="none"/>
              </w:tabs>
              <w:suppressAutoHyphens w:val="true"/>
              <w:overflowPunct w:val="true"/>
              <w:bidi w:val="0"/>
              <w:spacing w:lineRule="exact" w:line="302" w:before="15" w:after="150"/>
              <w:ind w:left="113" w:right="113" w:firstLine="283"/>
              <w:jc w:val="both"/>
              <w:rPr/>
            </w:pPr>
            <w:r>
              <w:rPr>
                <w:rStyle w:val="CharStyle7"/>
                <w:sz w:val="26"/>
                <w:szCs w:val="26"/>
              </w:rPr>
              <w:t>вища освіта за освітнім ступенем не нижче бакалавра, молодшого бакалавра</w:t>
            </w:r>
          </w:p>
        </w:tc>
      </w:tr>
      <w:tr>
        <w:trPr/>
        <w:tc>
          <w:tcPr>
            <w:tcW w:w="559" w:type="dxa"/>
            <w:tcBorders>
              <w:left w:val="single" w:sz="2" w:space="0" w:color="000000"/>
              <w:bottom w:val="single" w:sz="2" w:space="0" w:color="000000"/>
            </w:tcBorders>
          </w:tcPr>
          <w:p>
            <w:pPr>
              <w:pStyle w:val="Style19"/>
              <w:widowControl w:val="false"/>
              <w:jc w:val="both"/>
              <w:rPr>
                <w:sz w:val="26"/>
                <w:szCs w:val="26"/>
              </w:rPr>
            </w:pPr>
            <w:r>
              <w:rPr>
                <w:sz w:val="26"/>
                <w:szCs w:val="26"/>
              </w:rPr>
              <w:t>2.</w:t>
            </w:r>
          </w:p>
        </w:tc>
        <w:tc>
          <w:tcPr>
            <w:tcW w:w="2961" w:type="dxa"/>
            <w:tcBorders>
              <w:left w:val="single" w:sz="2" w:space="0" w:color="000000"/>
              <w:bottom w:val="single" w:sz="2" w:space="0" w:color="000000"/>
            </w:tcBorders>
          </w:tcPr>
          <w:p>
            <w:pPr>
              <w:pStyle w:val="Style19"/>
              <w:widowControl w:val="false"/>
              <w:jc w:val="both"/>
              <w:rPr>
                <w:sz w:val="26"/>
                <w:szCs w:val="26"/>
              </w:rPr>
            </w:pPr>
            <w:r>
              <w:rPr>
                <w:sz w:val="26"/>
                <w:szCs w:val="26"/>
              </w:rPr>
              <w:t>Досвід роботи</w:t>
            </w:r>
          </w:p>
        </w:tc>
        <w:tc>
          <w:tcPr>
            <w:tcW w:w="6185" w:type="dxa"/>
            <w:tcBorders>
              <w:left w:val="single" w:sz="2" w:space="0" w:color="000000"/>
              <w:bottom w:val="single" w:sz="2" w:space="0" w:color="000000"/>
              <w:right w:val="single" w:sz="2" w:space="0" w:color="000000"/>
            </w:tcBorders>
          </w:tcPr>
          <w:p>
            <w:pPr>
              <w:pStyle w:val="Style19"/>
              <w:widowControl w:val="false"/>
              <w:suppressLineNumbers/>
              <w:tabs>
                <w:tab w:val="clear" w:pos="720"/>
                <w:tab w:val="left" w:pos="390" w:leader="none"/>
              </w:tabs>
              <w:suppressAutoHyphens w:val="true"/>
              <w:overflowPunct w:val="true"/>
              <w:bidi w:val="0"/>
              <w:spacing w:before="0" w:after="0"/>
              <w:ind w:left="624" w:right="624" w:hanging="170"/>
              <w:jc w:val="both"/>
              <w:rPr>
                <w:sz w:val="26"/>
                <w:szCs w:val="26"/>
              </w:rPr>
            </w:pPr>
            <w:r>
              <w:rPr>
                <w:sz w:val="26"/>
                <w:szCs w:val="26"/>
              </w:rPr>
              <w:t xml:space="preserve">без </w:t>
            </w:r>
            <w:r>
              <w:rPr>
                <w:rFonts w:eastAsia="Times New Roman" w:cs="Times New Roman"/>
                <w:color w:val="00000A"/>
                <w:kern w:val="0"/>
                <w:sz w:val="26"/>
                <w:szCs w:val="26"/>
                <w:lang w:val="uk-UA" w:eastAsia="zh-CN" w:bidi="ar-SA"/>
              </w:rPr>
              <w:t>вимог до досвіду роботи</w:t>
            </w:r>
          </w:p>
        </w:tc>
      </w:tr>
      <w:tr>
        <w:trPr/>
        <w:tc>
          <w:tcPr>
            <w:tcW w:w="559" w:type="dxa"/>
            <w:tcBorders>
              <w:left w:val="single" w:sz="2" w:space="0" w:color="000000"/>
              <w:bottom w:val="single" w:sz="2" w:space="0" w:color="000000"/>
            </w:tcBorders>
          </w:tcPr>
          <w:p>
            <w:pPr>
              <w:pStyle w:val="Style19"/>
              <w:widowControl w:val="false"/>
              <w:jc w:val="both"/>
              <w:rPr>
                <w:sz w:val="26"/>
                <w:szCs w:val="26"/>
              </w:rPr>
            </w:pPr>
            <w:r>
              <w:rPr>
                <w:sz w:val="26"/>
                <w:szCs w:val="26"/>
              </w:rPr>
              <w:t>3.</w:t>
            </w:r>
          </w:p>
        </w:tc>
        <w:tc>
          <w:tcPr>
            <w:tcW w:w="2961" w:type="dxa"/>
            <w:tcBorders>
              <w:left w:val="single" w:sz="2" w:space="0" w:color="000000"/>
              <w:bottom w:val="single" w:sz="2" w:space="0" w:color="000000"/>
            </w:tcBorders>
          </w:tcPr>
          <w:p>
            <w:pPr>
              <w:pStyle w:val="Style19"/>
              <w:widowControl w:val="false"/>
              <w:jc w:val="both"/>
              <w:rPr>
                <w:sz w:val="26"/>
                <w:szCs w:val="26"/>
              </w:rPr>
            </w:pPr>
            <w:r>
              <w:rPr>
                <w:sz w:val="26"/>
                <w:szCs w:val="26"/>
              </w:rPr>
              <w:t>Володіння державною мовою</w:t>
            </w:r>
          </w:p>
        </w:tc>
        <w:tc>
          <w:tcPr>
            <w:tcW w:w="6185" w:type="dxa"/>
            <w:tcBorders>
              <w:left w:val="single" w:sz="2" w:space="0" w:color="000000"/>
              <w:bottom w:val="single" w:sz="2" w:space="0" w:color="000000"/>
              <w:right w:val="single" w:sz="2" w:space="0" w:color="000000"/>
            </w:tcBorders>
          </w:tcPr>
          <w:p>
            <w:pPr>
              <w:pStyle w:val="Rvps14"/>
              <w:widowControl w:val="false"/>
              <w:suppressAutoHyphens w:val="true"/>
              <w:overflowPunct w:val="true"/>
              <w:bidi w:val="0"/>
              <w:spacing w:lineRule="atLeast" w:line="100" w:before="150" w:after="150"/>
              <w:ind w:left="340" w:right="283" w:firstLine="113"/>
              <w:jc w:val="both"/>
              <w:textAlignment w:val="baseline"/>
              <w:rPr>
                <w:sz w:val="26"/>
                <w:szCs w:val="26"/>
              </w:rPr>
            </w:pPr>
            <w:r>
              <w:rPr>
                <w:rFonts w:cs="Times New Roman"/>
                <w:sz w:val="26"/>
                <w:szCs w:val="26"/>
              </w:rPr>
              <w:t>вільне володіння державною мовою</w:t>
            </w:r>
          </w:p>
        </w:tc>
      </w:tr>
      <w:tr>
        <w:trPr/>
        <w:tc>
          <w:tcPr>
            <w:tcW w:w="9705" w:type="dxa"/>
            <w:gridSpan w:val="3"/>
            <w:tcBorders>
              <w:left w:val="single" w:sz="2" w:space="0" w:color="000000"/>
              <w:bottom w:val="single" w:sz="2" w:space="0" w:color="000000"/>
              <w:right w:val="single" w:sz="2" w:space="0" w:color="000000"/>
            </w:tcBorders>
          </w:tcPr>
          <w:p>
            <w:pPr>
              <w:pStyle w:val="Style19"/>
              <w:widowControl w:val="false"/>
              <w:jc w:val="center"/>
              <w:rPr>
                <w:sz w:val="26"/>
                <w:szCs w:val="26"/>
              </w:rPr>
            </w:pPr>
            <w:r>
              <w:rPr>
                <w:b/>
                <w:bCs/>
                <w:sz w:val="26"/>
                <w:szCs w:val="26"/>
              </w:rPr>
              <w:t>Вимоги до компетентності</w:t>
            </w:r>
          </w:p>
        </w:tc>
      </w:tr>
      <w:tr>
        <w:trPr/>
        <w:tc>
          <w:tcPr>
            <w:tcW w:w="3520" w:type="dxa"/>
            <w:gridSpan w:val="2"/>
            <w:tcBorders>
              <w:left w:val="single" w:sz="2" w:space="0" w:color="000000"/>
              <w:bottom w:val="single" w:sz="2" w:space="0" w:color="000000"/>
            </w:tcBorders>
          </w:tcPr>
          <w:p>
            <w:pPr>
              <w:pStyle w:val="Style19"/>
              <w:widowControl w:val="false"/>
              <w:jc w:val="both"/>
              <w:rPr>
                <w:sz w:val="26"/>
                <w:szCs w:val="26"/>
              </w:rPr>
            </w:pPr>
            <w:r>
              <w:rPr>
                <w:b/>
                <w:bCs/>
                <w:sz w:val="26"/>
                <w:szCs w:val="26"/>
              </w:rPr>
              <w:t>Вимога</w:t>
            </w:r>
          </w:p>
        </w:tc>
        <w:tc>
          <w:tcPr>
            <w:tcW w:w="6185" w:type="dxa"/>
            <w:tcBorders>
              <w:left w:val="single" w:sz="2" w:space="0" w:color="000000"/>
              <w:bottom w:val="single" w:sz="2" w:space="0" w:color="000000"/>
              <w:right w:val="single" w:sz="2" w:space="0" w:color="000000"/>
            </w:tcBorders>
          </w:tcPr>
          <w:p>
            <w:pPr>
              <w:pStyle w:val="Normal"/>
              <w:widowControl w:val="false"/>
              <w:jc w:val="both"/>
              <w:rPr>
                <w:sz w:val="26"/>
                <w:szCs w:val="26"/>
              </w:rPr>
            </w:pPr>
            <w:r>
              <w:rPr>
                <w:b/>
                <w:bCs/>
                <w:sz w:val="26"/>
                <w:szCs w:val="26"/>
              </w:rPr>
              <w:t>Компоненти вимоги</w:t>
            </w:r>
          </w:p>
        </w:tc>
      </w:tr>
      <w:tr>
        <w:trPr/>
        <w:tc>
          <w:tcPr>
            <w:tcW w:w="559" w:type="dxa"/>
            <w:tcBorders>
              <w:left w:val="single" w:sz="2" w:space="0" w:color="000000"/>
              <w:bottom w:val="single" w:sz="2" w:space="0" w:color="000000"/>
            </w:tcBorders>
          </w:tcPr>
          <w:p>
            <w:pPr>
              <w:pStyle w:val="Style19"/>
              <w:widowControl w:val="false"/>
              <w:jc w:val="both"/>
              <w:rPr>
                <w:sz w:val="26"/>
                <w:szCs w:val="26"/>
              </w:rPr>
            </w:pPr>
            <w:r>
              <w:rPr>
                <w:sz w:val="26"/>
                <w:szCs w:val="26"/>
              </w:rPr>
              <w:t>1.</w:t>
            </w:r>
          </w:p>
        </w:tc>
        <w:tc>
          <w:tcPr>
            <w:tcW w:w="2961" w:type="dxa"/>
            <w:tcBorders>
              <w:left w:val="single" w:sz="2" w:space="0" w:color="000000"/>
              <w:bottom w:val="single" w:sz="2" w:space="0" w:color="000000"/>
            </w:tcBorders>
          </w:tcPr>
          <w:p>
            <w:pPr>
              <w:pStyle w:val="Style19"/>
              <w:widowControl w:val="false"/>
              <w:jc w:val="both"/>
              <w:rPr>
                <w:sz w:val="26"/>
                <w:szCs w:val="26"/>
              </w:rPr>
            </w:pPr>
            <w:r>
              <w:rPr>
                <w:sz w:val="26"/>
                <w:szCs w:val="26"/>
              </w:rPr>
              <w:t>Досягнення результатів</w:t>
            </w:r>
          </w:p>
        </w:tc>
        <w:tc>
          <w:tcPr>
            <w:tcW w:w="6185" w:type="dxa"/>
            <w:tcBorders>
              <w:left w:val="single" w:sz="2" w:space="0" w:color="000000"/>
              <w:bottom w:val="single" w:sz="2" w:space="0" w:color="000000"/>
              <w:right w:val="single" w:sz="2" w:space="0" w:color="000000"/>
            </w:tcBorders>
          </w:tcPr>
          <w:p>
            <w:pPr>
              <w:pStyle w:val="Style19"/>
              <w:widowControl w:val="false"/>
              <w:suppressLineNumbers/>
              <w:suppressAutoHyphens w:val="true"/>
              <w:overflowPunct w:val="true"/>
              <w:bidi w:val="0"/>
              <w:spacing w:before="0" w:after="0"/>
              <w:ind w:left="57" w:right="57" w:firstLine="567"/>
              <w:jc w:val="both"/>
              <w:rPr>
                <w:sz w:val="26"/>
                <w:szCs w:val="26"/>
              </w:rPr>
            </w:pPr>
            <w:r>
              <w:rPr>
                <w:sz w:val="26"/>
                <w:szCs w:val="26"/>
              </w:rPr>
              <w:t>здатність до чіткого бачення результату діяльності;</w:t>
            </w:r>
          </w:p>
          <w:p>
            <w:pPr>
              <w:pStyle w:val="Style19"/>
              <w:widowControl w:val="false"/>
              <w:suppressLineNumbers/>
              <w:suppressAutoHyphens w:val="true"/>
              <w:overflowPunct w:val="true"/>
              <w:bidi w:val="0"/>
              <w:spacing w:before="0" w:after="0"/>
              <w:ind w:left="57" w:right="57" w:firstLine="567"/>
              <w:jc w:val="both"/>
              <w:rPr>
                <w:sz w:val="26"/>
                <w:szCs w:val="26"/>
              </w:rPr>
            </w:pPr>
            <w:r>
              <w:rPr>
                <w:sz w:val="26"/>
                <w:szCs w:val="26"/>
              </w:rPr>
              <w:t>вміння фокусувати зусилля для досягнення результату діяльності;</w:t>
            </w:r>
          </w:p>
          <w:p>
            <w:pPr>
              <w:pStyle w:val="Style19"/>
              <w:widowControl w:val="false"/>
              <w:suppressLineNumbers/>
              <w:suppressAutoHyphens w:val="true"/>
              <w:overflowPunct w:val="true"/>
              <w:bidi w:val="0"/>
              <w:spacing w:before="0" w:after="0"/>
              <w:ind w:left="57" w:right="57" w:firstLine="567"/>
              <w:jc w:val="both"/>
              <w:rPr>
                <w:sz w:val="26"/>
                <w:szCs w:val="26"/>
              </w:rPr>
            </w:pPr>
            <w:r>
              <w:rPr>
                <w:sz w:val="26"/>
                <w:szCs w:val="26"/>
              </w:rPr>
              <w:t>вміння запобігати та ефективно долати перешкоди.</w:t>
            </w:r>
          </w:p>
        </w:tc>
      </w:tr>
      <w:tr>
        <w:trPr/>
        <w:tc>
          <w:tcPr>
            <w:tcW w:w="559" w:type="dxa"/>
            <w:tcBorders>
              <w:left w:val="single" w:sz="2" w:space="0" w:color="000000"/>
              <w:bottom w:val="single" w:sz="2" w:space="0" w:color="000000"/>
            </w:tcBorders>
          </w:tcPr>
          <w:p>
            <w:pPr>
              <w:pStyle w:val="Style19"/>
              <w:widowControl w:val="false"/>
              <w:jc w:val="both"/>
              <w:rPr>
                <w:sz w:val="26"/>
                <w:szCs w:val="26"/>
              </w:rPr>
            </w:pPr>
            <w:r>
              <w:rPr>
                <w:sz w:val="26"/>
                <w:szCs w:val="26"/>
              </w:rPr>
              <w:t>2.</w:t>
            </w:r>
          </w:p>
        </w:tc>
        <w:tc>
          <w:tcPr>
            <w:tcW w:w="2961" w:type="dxa"/>
            <w:tcBorders>
              <w:left w:val="single" w:sz="2" w:space="0" w:color="000000"/>
              <w:bottom w:val="single" w:sz="2" w:space="0" w:color="000000"/>
            </w:tcBorders>
          </w:tcPr>
          <w:p>
            <w:pPr>
              <w:pStyle w:val="Style19"/>
              <w:widowControl w:val="false"/>
              <w:jc w:val="both"/>
              <w:rPr>
                <w:sz w:val="26"/>
                <w:szCs w:val="26"/>
              </w:rPr>
            </w:pPr>
            <w:r>
              <w:rPr>
                <w:sz w:val="26"/>
                <w:szCs w:val="26"/>
              </w:rPr>
              <w:t>Відповідальність</w:t>
            </w:r>
          </w:p>
        </w:tc>
        <w:tc>
          <w:tcPr>
            <w:tcW w:w="6185" w:type="dxa"/>
            <w:tcBorders>
              <w:left w:val="single" w:sz="2" w:space="0" w:color="000000"/>
              <w:bottom w:val="single" w:sz="2" w:space="0" w:color="000000"/>
              <w:right w:val="single" w:sz="2" w:space="0" w:color="000000"/>
            </w:tcBorders>
          </w:tcPr>
          <w:p>
            <w:pPr>
              <w:pStyle w:val="Style19"/>
              <w:widowControl w:val="false"/>
              <w:suppressLineNumbers/>
              <w:suppressAutoHyphens w:val="true"/>
              <w:overflowPunct w:val="true"/>
              <w:bidi w:val="0"/>
              <w:spacing w:before="0" w:after="0"/>
              <w:ind w:left="113" w:right="113" w:firstLine="510"/>
              <w:jc w:val="both"/>
              <w:rPr>
                <w:sz w:val="26"/>
                <w:szCs w:val="26"/>
              </w:rPr>
            </w:pPr>
            <w:r>
              <w:rPr>
                <w:sz w:val="26"/>
                <w:szCs w:val="26"/>
              </w:rPr>
              <w:t>усвідомлення важливості якісного виконання своїх посадових обов'язків з дотриманням строків та встановлених процедур;</w:t>
            </w:r>
          </w:p>
          <w:p>
            <w:pPr>
              <w:pStyle w:val="Style19"/>
              <w:widowControl w:val="false"/>
              <w:suppressLineNumbers/>
              <w:suppressAutoHyphens w:val="true"/>
              <w:overflowPunct w:val="true"/>
              <w:bidi w:val="0"/>
              <w:spacing w:before="0" w:after="0"/>
              <w:ind w:left="57" w:right="57" w:firstLine="567"/>
              <w:jc w:val="both"/>
              <w:rPr>
                <w:sz w:val="26"/>
                <w:szCs w:val="26"/>
              </w:rPr>
            </w:pPr>
            <w:r>
              <w:rPr>
                <w:sz w:val="26"/>
                <w:szCs w:val="26"/>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pPr>
              <w:pStyle w:val="Style19"/>
              <w:widowControl w:val="false"/>
              <w:suppressLineNumbers/>
              <w:suppressAutoHyphens w:val="true"/>
              <w:overflowPunct w:val="true"/>
              <w:bidi w:val="0"/>
              <w:spacing w:before="0" w:after="0"/>
              <w:ind w:left="57" w:right="57" w:firstLine="567"/>
              <w:jc w:val="both"/>
              <w:rPr>
                <w:sz w:val="26"/>
                <w:szCs w:val="26"/>
              </w:rPr>
            </w:pPr>
            <w:r>
              <w:rPr>
                <w:sz w:val="26"/>
                <w:szCs w:val="26"/>
              </w:rPr>
              <w:t>здатність брати на себе зобов'язання, чітко їх дотримуватись і виконувати.</w:t>
            </w:r>
          </w:p>
        </w:tc>
      </w:tr>
      <w:tr>
        <w:trPr/>
        <w:tc>
          <w:tcPr>
            <w:tcW w:w="559" w:type="dxa"/>
            <w:tcBorders>
              <w:left w:val="single" w:sz="2" w:space="0" w:color="000000"/>
              <w:bottom w:val="single" w:sz="2" w:space="0" w:color="000000"/>
            </w:tcBorders>
          </w:tcPr>
          <w:p>
            <w:pPr>
              <w:pStyle w:val="Style19"/>
              <w:widowControl w:val="false"/>
              <w:jc w:val="both"/>
              <w:rPr>
                <w:sz w:val="26"/>
                <w:szCs w:val="26"/>
              </w:rPr>
            </w:pPr>
            <w:r>
              <w:rPr>
                <w:sz w:val="26"/>
                <w:szCs w:val="26"/>
              </w:rPr>
              <w:t>3.</w:t>
            </w:r>
          </w:p>
        </w:tc>
        <w:tc>
          <w:tcPr>
            <w:tcW w:w="2961" w:type="dxa"/>
            <w:tcBorders>
              <w:left w:val="single" w:sz="2" w:space="0" w:color="000000"/>
              <w:bottom w:val="single" w:sz="2" w:space="0" w:color="000000"/>
            </w:tcBorders>
          </w:tcPr>
          <w:p>
            <w:pPr>
              <w:pStyle w:val="Style19"/>
              <w:widowControl w:val="false"/>
              <w:jc w:val="both"/>
              <w:rPr>
                <w:sz w:val="26"/>
                <w:szCs w:val="26"/>
              </w:rPr>
            </w:pPr>
            <w:r>
              <w:rPr>
                <w:sz w:val="26"/>
                <w:szCs w:val="26"/>
              </w:rPr>
              <w:t>Цифрова грамотність</w:t>
            </w:r>
          </w:p>
        </w:tc>
        <w:tc>
          <w:tcPr>
            <w:tcW w:w="6185" w:type="dxa"/>
            <w:tcBorders>
              <w:left w:val="single" w:sz="2" w:space="0" w:color="000000"/>
              <w:bottom w:val="single" w:sz="2" w:space="0" w:color="000000"/>
              <w:right w:val="single" w:sz="2" w:space="0" w:color="000000"/>
            </w:tcBorders>
          </w:tcPr>
          <w:p>
            <w:pPr>
              <w:pStyle w:val="Style19"/>
              <w:widowControl w:val="false"/>
              <w:suppressLineNumbers/>
              <w:suppressAutoHyphens w:val="true"/>
              <w:overflowPunct w:val="true"/>
              <w:bidi w:val="0"/>
              <w:spacing w:before="0" w:after="0"/>
              <w:ind w:left="57" w:right="57" w:firstLine="454"/>
              <w:jc w:val="both"/>
              <w:rPr>
                <w:sz w:val="26"/>
                <w:szCs w:val="26"/>
              </w:rPr>
            </w:pPr>
            <w:r>
              <w:rPr>
                <w:sz w:val="26"/>
                <w:szCs w:val="26"/>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pPr>
              <w:pStyle w:val="Style19"/>
              <w:widowControl w:val="false"/>
              <w:suppressLineNumbers/>
              <w:suppressAutoHyphens w:val="true"/>
              <w:overflowPunct w:val="true"/>
              <w:bidi w:val="0"/>
              <w:spacing w:before="0" w:after="0"/>
              <w:ind w:left="0" w:right="-57" w:hanging="0"/>
              <w:jc w:val="both"/>
              <w:rPr>
                <w:sz w:val="26"/>
                <w:szCs w:val="26"/>
              </w:rPr>
            </w:pPr>
            <w:r>
              <w:rPr>
                <w:sz w:val="26"/>
                <w:szCs w:val="26"/>
              </w:rPr>
              <w:t>вміння використовувати сервіси інтернету для ефективного пошуку потрібної інформації;</w:t>
            </w:r>
          </w:p>
          <w:p>
            <w:pPr>
              <w:pStyle w:val="Style19"/>
              <w:widowControl w:val="false"/>
              <w:suppressLineNumbers/>
              <w:suppressAutoHyphens w:val="true"/>
              <w:overflowPunct w:val="true"/>
              <w:bidi w:val="0"/>
              <w:spacing w:before="0" w:after="0"/>
              <w:ind w:left="57" w:right="0" w:firstLine="567"/>
              <w:jc w:val="both"/>
              <w:rPr>
                <w:sz w:val="26"/>
                <w:szCs w:val="26"/>
              </w:rPr>
            </w:pPr>
            <w:r>
              <w:rPr>
                <w:sz w:val="26"/>
                <w:szCs w:val="26"/>
              </w:rPr>
              <w:t>вміння перевіряти надійність джерел і достовірність даних та інформації у цифровому середовищі;</w:t>
            </w:r>
          </w:p>
          <w:p>
            <w:pPr>
              <w:pStyle w:val="Style19"/>
              <w:widowControl w:val="false"/>
              <w:suppressLineNumbers/>
              <w:suppressAutoHyphens w:val="true"/>
              <w:overflowPunct w:val="true"/>
              <w:bidi w:val="0"/>
              <w:spacing w:before="0" w:after="0"/>
              <w:ind w:left="57" w:right="0" w:firstLine="567"/>
              <w:jc w:val="both"/>
              <w:rPr>
                <w:sz w:val="26"/>
                <w:szCs w:val="26"/>
              </w:rPr>
            </w:pPr>
            <w:r>
              <w:rPr>
                <w:sz w:val="26"/>
                <w:szCs w:val="26"/>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pPr>
              <w:pStyle w:val="Style19"/>
              <w:widowControl w:val="false"/>
              <w:suppressLineNumbers/>
              <w:suppressAutoHyphens w:val="true"/>
              <w:overflowPunct w:val="true"/>
              <w:bidi w:val="0"/>
              <w:spacing w:before="0" w:after="0"/>
              <w:ind w:left="57" w:right="57" w:firstLine="567"/>
              <w:jc w:val="both"/>
              <w:rPr>
                <w:sz w:val="26"/>
                <w:szCs w:val="26"/>
              </w:rPr>
            </w:pPr>
            <w:r>
              <w:rPr>
                <w:sz w:val="26"/>
                <w:szCs w:val="26"/>
              </w:rPr>
              <w:t>здатність уникати небезпек в цифровому середовищі, захищати особисті та конфіденційні дані;</w:t>
            </w:r>
          </w:p>
          <w:p>
            <w:pPr>
              <w:pStyle w:val="Style19"/>
              <w:widowControl w:val="false"/>
              <w:suppressLineNumbers/>
              <w:suppressAutoHyphens w:val="true"/>
              <w:overflowPunct w:val="true"/>
              <w:bidi w:val="0"/>
              <w:spacing w:before="0" w:after="0"/>
              <w:ind w:left="57" w:right="57" w:firstLine="567"/>
              <w:jc w:val="both"/>
              <w:rPr>
                <w:sz w:val="26"/>
                <w:szCs w:val="26"/>
              </w:rPr>
            </w:pPr>
            <w:r>
              <w:rPr>
                <w:sz w:val="26"/>
                <w:szCs w:val="26"/>
              </w:rPr>
              <w:t>здатність використовувати відкриті цифрові ресурси для власного професійного розвитку.</w:t>
            </w:r>
          </w:p>
        </w:tc>
      </w:tr>
      <w:tr>
        <w:trPr/>
        <w:tc>
          <w:tcPr>
            <w:tcW w:w="9705" w:type="dxa"/>
            <w:gridSpan w:val="3"/>
            <w:tcBorders>
              <w:left w:val="single" w:sz="2" w:space="0" w:color="000000"/>
              <w:bottom w:val="single" w:sz="2" w:space="0" w:color="000000"/>
              <w:right w:val="single" w:sz="2" w:space="0" w:color="000000"/>
            </w:tcBorders>
          </w:tcPr>
          <w:p>
            <w:pPr>
              <w:pStyle w:val="Style19"/>
              <w:widowControl w:val="false"/>
              <w:jc w:val="center"/>
              <w:rPr>
                <w:sz w:val="26"/>
                <w:szCs w:val="26"/>
              </w:rPr>
            </w:pPr>
            <w:r>
              <w:rPr>
                <w:b/>
                <w:bCs/>
                <w:sz w:val="26"/>
                <w:szCs w:val="26"/>
              </w:rPr>
              <w:t>Професійні знання</w:t>
            </w:r>
          </w:p>
        </w:tc>
      </w:tr>
      <w:tr>
        <w:trPr/>
        <w:tc>
          <w:tcPr>
            <w:tcW w:w="3520" w:type="dxa"/>
            <w:gridSpan w:val="2"/>
            <w:tcBorders>
              <w:left w:val="single" w:sz="2" w:space="0" w:color="000000"/>
              <w:bottom w:val="single" w:sz="2" w:space="0" w:color="000000"/>
            </w:tcBorders>
          </w:tcPr>
          <w:p>
            <w:pPr>
              <w:pStyle w:val="Style19"/>
              <w:widowControl w:val="false"/>
              <w:jc w:val="both"/>
              <w:rPr>
                <w:sz w:val="26"/>
                <w:szCs w:val="26"/>
              </w:rPr>
            </w:pPr>
            <w:r>
              <w:rPr>
                <w:b/>
                <w:bCs/>
                <w:sz w:val="26"/>
                <w:szCs w:val="26"/>
              </w:rPr>
              <w:t>Вимога</w:t>
            </w:r>
          </w:p>
        </w:tc>
        <w:tc>
          <w:tcPr>
            <w:tcW w:w="6185" w:type="dxa"/>
            <w:tcBorders>
              <w:left w:val="single" w:sz="2" w:space="0" w:color="000000"/>
              <w:bottom w:val="single" w:sz="2" w:space="0" w:color="000000"/>
              <w:right w:val="single" w:sz="2" w:space="0" w:color="000000"/>
            </w:tcBorders>
          </w:tcPr>
          <w:p>
            <w:pPr>
              <w:pStyle w:val="Normal"/>
              <w:widowControl w:val="false"/>
              <w:jc w:val="both"/>
              <w:rPr>
                <w:sz w:val="26"/>
                <w:szCs w:val="26"/>
              </w:rPr>
            </w:pPr>
            <w:r>
              <w:rPr>
                <w:b/>
                <w:bCs/>
                <w:sz w:val="26"/>
                <w:szCs w:val="26"/>
              </w:rPr>
              <w:t>Компоненти вимоги</w:t>
            </w:r>
          </w:p>
        </w:tc>
      </w:tr>
      <w:tr>
        <w:trPr>
          <w:trHeight w:val="1299" w:hRule="atLeast"/>
        </w:trPr>
        <w:tc>
          <w:tcPr>
            <w:tcW w:w="559" w:type="dxa"/>
            <w:tcBorders>
              <w:left w:val="single" w:sz="2" w:space="0" w:color="000000"/>
              <w:bottom w:val="single" w:sz="2" w:space="0" w:color="000000"/>
            </w:tcBorders>
          </w:tcPr>
          <w:p>
            <w:pPr>
              <w:pStyle w:val="Style19"/>
              <w:widowControl w:val="false"/>
              <w:jc w:val="both"/>
              <w:rPr>
                <w:sz w:val="26"/>
                <w:szCs w:val="26"/>
              </w:rPr>
            </w:pPr>
            <w:r>
              <w:rPr>
                <w:sz w:val="26"/>
                <w:szCs w:val="26"/>
              </w:rPr>
              <w:t>1.</w:t>
            </w:r>
          </w:p>
        </w:tc>
        <w:tc>
          <w:tcPr>
            <w:tcW w:w="2961" w:type="dxa"/>
            <w:tcBorders>
              <w:left w:val="single" w:sz="2" w:space="0" w:color="000000"/>
              <w:bottom w:val="single" w:sz="2" w:space="0" w:color="000000"/>
            </w:tcBorders>
          </w:tcPr>
          <w:p>
            <w:pPr>
              <w:pStyle w:val="Normal"/>
              <w:widowControl w:val="false"/>
              <w:jc w:val="both"/>
              <w:rPr>
                <w:sz w:val="26"/>
                <w:szCs w:val="26"/>
              </w:rPr>
            </w:pPr>
            <w:r>
              <w:rPr>
                <w:sz w:val="26"/>
                <w:szCs w:val="26"/>
              </w:rPr>
              <w:t>Знання законодавства</w:t>
            </w:r>
          </w:p>
        </w:tc>
        <w:tc>
          <w:tcPr>
            <w:tcW w:w="6185" w:type="dxa"/>
            <w:tcBorders>
              <w:left w:val="single" w:sz="2" w:space="0" w:color="000000"/>
              <w:bottom w:val="single" w:sz="2" w:space="0" w:color="000000"/>
              <w:right w:val="single" w:sz="2" w:space="0" w:color="000000"/>
            </w:tcBorders>
          </w:tcPr>
          <w:p>
            <w:pPr>
              <w:pStyle w:val="Normal"/>
              <w:widowControl w:val="false"/>
              <w:suppressAutoHyphens w:val="true"/>
              <w:overflowPunct w:val="true"/>
              <w:bidi w:val="0"/>
              <w:spacing w:before="0" w:after="0"/>
              <w:ind w:left="57" w:right="57" w:firstLine="624"/>
              <w:jc w:val="both"/>
              <w:rPr>
                <w:sz w:val="26"/>
                <w:szCs w:val="26"/>
              </w:rPr>
            </w:pPr>
            <w:r>
              <w:rPr>
                <w:sz w:val="26"/>
                <w:szCs w:val="26"/>
              </w:rPr>
              <w:t>Конституції України від 28 червня 1996 року;</w:t>
            </w:r>
          </w:p>
          <w:p>
            <w:pPr>
              <w:pStyle w:val="Normal"/>
              <w:widowControl w:val="false"/>
              <w:suppressAutoHyphens w:val="true"/>
              <w:overflowPunct w:val="true"/>
              <w:bidi w:val="0"/>
              <w:spacing w:before="0" w:after="0"/>
              <w:ind w:left="57" w:right="57" w:firstLine="567"/>
              <w:jc w:val="both"/>
              <w:rPr>
                <w:sz w:val="26"/>
                <w:szCs w:val="26"/>
              </w:rPr>
            </w:pPr>
            <w:r>
              <w:rPr>
                <w:rFonts w:eastAsia="Times New Roman" w:cs="Times New Roman"/>
                <w:sz w:val="26"/>
                <w:szCs w:val="26"/>
              </w:rPr>
              <w:t>Закон України “Про державну службу” від 10 грудня 2015 року № 889-</w:t>
            </w:r>
            <w:r>
              <w:rPr>
                <w:rFonts w:eastAsia="Times New Roman" w:cs="Times New Roman"/>
                <w:sz w:val="26"/>
                <w:szCs w:val="26"/>
                <w:lang w:val="en-US"/>
              </w:rPr>
              <w:t>VIII;</w:t>
            </w:r>
          </w:p>
          <w:p>
            <w:pPr>
              <w:pStyle w:val="Normal"/>
              <w:widowControl w:val="false"/>
              <w:suppressAutoHyphens w:val="true"/>
              <w:overflowPunct w:val="true"/>
              <w:bidi w:val="0"/>
              <w:spacing w:before="0" w:after="0"/>
              <w:ind w:left="57" w:right="57" w:firstLine="567"/>
              <w:jc w:val="both"/>
              <w:rPr>
                <w:sz w:val="26"/>
                <w:szCs w:val="26"/>
              </w:rPr>
            </w:pPr>
            <w:r>
              <w:rPr>
                <w:rFonts w:eastAsia="Times New Roman" w:cs="Times New Roman"/>
                <w:sz w:val="26"/>
                <w:szCs w:val="26"/>
              </w:rPr>
              <w:t xml:space="preserve">Закон України “Про запобігання корупції” від 14 жовтня 2014 року № </w:t>
            </w:r>
            <w:r>
              <w:rPr>
                <w:rFonts w:eastAsia="Times New Roman" w:cs="Times New Roman"/>
                <w:b w:val="false"/>
                <w:i w:val="false"/>
                <w:caps w:val="false"/>
                <w:smallCaps w:val="false"/>
                <w:color w:val="000000"/>
                <w:spacing w:val="0"/>
                <w:sz w:val="26"/>
                <w:szCs w:val="26"/>
              </w:rPr>
              <w:t>1700-VII</w:t>
            </w:r>
            <w:r>
              <w:rPr>
                <w:rFonts w:eastAsia="Times New Roman" w:cs="Times New Roman"/>
                <w:sz w:val="26"/>
                <w:szCs w:val="26"/>
              </w:rPr>
              <w:t>;</w:t>
            </w:r>
          </w:p>
          <w:p>
            <w:pPr>
              <w:pStyle w:val="Normal"/>
              <w:widowControl w:val="false"/>
              <w:suppressAutoHyphens w:val="true"/>
              <w:overflowPunct w:val="true"/>
              <w:bidi w:val="0"/>
              <w:spacing w:before="0" w:after="0"/>
              <w:ind w:left="57" w:right="57" w:firstLine="510"/>
              <w:jc w:val="both"/>
              <w:rPr>
                <w:sz w:val="26"/>
                <w:szCs w:val="26"/>
              </w:rPr>
            </w:pPr>
            <w:r>
              <w:rPr>
                <w:rFonts w:eastAsia="Times New Roman" w:cs="Times New Roman"/>
                <w:sz w:val="26"/>
                <w:szCs w:val="26"/>
              </w:rPr>
              <w:t>Закон України “П</w:t>
            </w:r>
            <w:r>
              <w:rPr>
                <w:sz w:val="26"/>
                <w:szCs w:val="26"/>
              </w:rPr>
              <w:t>ро доступ до публічної інформації” 13 січня 2011 року № 2939-</w:t>
            </w:r>
            <w:r>
              <w:rPr>
                <w:sz w:val="26"/>
                <w:szCs w:val="26"/>
                <w:lang w:val="en-US"/>
              </w:rPr>
              <w:t>VI</w:t>
            </w:r>
            <w:r>
              <w:rPr>
                <w:sz w:val="26"/>
                <w:szCs w:val="26"/>
              </w:rPr>
              <w:t>;</w:t>
            </w:r>
          </w:p>
          <w:p>
            <w:pPr>
              <w:pStyle w:val="Normal"/>
              <w:widowControl w:val="false"/>
              <w:suppressAutoHyphens w:val="true"/>
              <w:overflowPunct w:val="true"/>
              <w:bidi w:val="0"/>
              <w:spacing w:before="0" w:after="0"/>
              <w:ind w:left="57" w:right="57" w:firstLine="624"/>
              <w:jc w:val="both"/>
              <w:rPr>
                <w:sz w:val="26"/>
                <w:szCs w:val="26"/>
              </w:rPr>
            </w:pPr>
            <w:r>
              <w:rPr>
                <w:sz w:val="26"/>
                <w:szCs w:val="26"/>
              </w:rPr>
              <w:t>Закон України “Про захист персональних даних” від 01 червня 2010 року № 2297-</w:t>
            </w:r>
            <w:r>
              <w:rPr>
                <w:sz w:val="26"/>
                <w:szCs w:val="26"/>
                <w:lang w:val="en-US"/>
              </w:rPr>
              <w:t>VI</w:t>
            </w:r>
            <w:r>
              <w:rPr>
                <w:sz w:val="26"/>
                <w:szCs w:val="26"/>
              </w:rPr>
              <w:t>.</w:t>
            </w:r>
          </w:p>
        </w:tc>
      </w:tr>
      <w:tr>
        <w:trPr>
          <w:trHeight w:val="2110" w:hRule="atLeast"/>
        </w:trPr>
        <w:tc>
          <w:tcPr>
            <w:tcW w:w="559" w:type="dxa"/>
            <w:tcBorders>
              <w:left w:val="single" w:sz="2" w:space="0" w:color="000000"/>
              <w:bottom w:val="single" w:sz="2" w:space="0" w:color="000000"/>
            </w:tcBorders>
          </w:tcPr>
          <w:p>
            <w:pPr>
              <w:pStyle w:val="Style19"/>
              <w:widowControl w:val="false"/>
              <w:jc w:val="both"/>
              <w:rPr>
                <w:sz w:val="26"/>
                <w:szCs w:val="26"/>
              </w:rPr>
            </w:pPr>
            <w:r>
              <w:rPr>
                <w:sz w:val="26"/>
                <w:szCs w:val="26"/>
              </w:rPr>
              <w:t>2.</w:t>
            </w:r>
          </w:p>
        </w:tc>
        <w:tc>
          <w:tcPr>
            <w:tcW w:w="2961" w:type="dxa"/>
            <w:tcBorders>
              <w:left w:val="single" w:sz="2" w:space="0" w:color="000000"/>
              <w:bottom w:val="single" w:sz="2" w:space="0" w:color="000000"/>
            </w:tcBorders>
          </w:tcPr>
          <w:p>
            <w:pPr>
              <w:pStyle w:val="Normal"/>
              <w:widowControl w:val="false"/>
              <w:jc w:val="both"/>
              <w:rPr>
                <w:sz w:val="26"/>
                <w:szCs w:val="26"/>
              </w:rPr>
            </w:pPr>
            <w:r>
              <w:rPr>
                <w:sz w:val="26"/>
                <w:szCs w:val="26"/>
              </w:rPr>
              <w:t>Знання законодавства у сфері</w:t>
            </w:r>
          </w:p>
        </w:tc>
        <w:tc>
          <w:tcPr>
            <w:tcW w:w="6185" w:type="dxa"/>
            <w:tcBorders>
              <w:left w:val="single" w:sz="2" w:space="0" w:color="000000"/>
              <w:bottom w:val="single" w:sz="2" w:space="0" w:color="000000"/>
              <w:right w:val="single" w:sz="2" w:space="0" w:color="000000"/>
            </w:tcBorders>
          </w:tcPr>
          <w:p>
            <w:pPr>
              <w:pStyle w:val="Normal"/>
              <w:widowControl w:val="false"/>
              <w:suppressAutoHyphens w:val="true"/>
              <w:overflowPunct w:val="true"/>
              <w:bidi w:val="0"/>
              <w:spacing w:before="0" w:after="0"/>
              <w:ind w:left="57" w:right="57" w:firstLine="567"/>
              <w:jc w:val="both"/>
              <w:rPr>
                <w:sz w:val="26"/>
                <w:szCs w:val="26"/>
              </w:rPr>
            </w:pPr>
            <w:r>
              <w:rPr>
                <w:sz w:val="26"/>
                <w:szCs w:val="26"/>
              </w:rPr>
              <w:t xml:space="preserve">Закон України </w:t>
            </w:r>
            <w:r>
              <w:rPr>
                <w:b w:val="false"/>
                <w:bCs w:val="false"/>
                <w:sz w:val="26"/>
                <w:szCs w:val="26"/>
              </w:rPr>
              <w:t>“</w:t>
            </w:r>
            <w:bookmarkStart w:id="0" w:name="__DdeLink__950_1541986854"/>
            <w:bookmarkEnd w:id="0"/>
            <w:r>
              <w:rPr>
                <w:b w:val="false"/>
                <w:bCs w:val="false"/>
                <w:i w:val="false"/>
                <w:caps w:val="false"/>
                <w:smallCaps w:val="false"/>
                <w:color w:val="000000"/>
                <w:spacing w:val="0"/>
                <w:sz w:val="26"/>
                <w:szCs w:val="26"/>
              </w:rPr>
              <w:t>Про загальнообов’язкове державне пенсійне страхування</w:t>
            </w:r>
            <w:r>
              <w:rPr>
                <w:b w:val="false"/>
                <w:bCs w:val="false"/>
                <w:sz w:val="26"/>
                <w:szCs w:val="26"/>
              </w:rPr>
              <w:t xml:space="preserve">” </w:t>
            </w:r>
            <w:r>
              <w:rPr>
                <w:b w:val="false"/>
                <w:bCs w:val="false"/>
                <w:sz w:val="26"/>
                <w:szCs w:val="26"/>
                <w:lang w:val="uk-UA"/>
              </w:rPr>
              <w:t>від 09 липня 2003 року № 1058-</w:t>
            </w:r>
            <w:r>
              <w:rPr>
                <w:b w:val="false"/>
                <w:bCs w:val="false"/>
                <w:sz w:val="26"/>
                <w:szCs w:val="26"/>
                <w:lang w:val="en-US"/>
              </w:rPr>
              <w:t>VI</w:t>
            </w:r>
            <w:r>
              <w:rPr>
                <w:b w:val="false"/>
                <w:bCs w:val="false"/>
                <w:sz w:val="26"/>
                <w:szCs w:val="26"/>
              </w:rPr>
              <w:t>;</w:t>
            </w:r>
          </w:p>
          <w:p>
            <w:pPr>
              <w:pStyle w:val="Normal"/>
              <w:widowControl w:val="false"/>
              <w:suppressAutoHyphens w:val="true"/>
              <w:overflowPunct w:val="true"/>
              <w:bidi w:val="0"/>
              <w:spacing w:before="0" w:after="0"/>
              <w:ind w:left="57" w:right="57" w:firstLine="567"/>
              <w:jc w:val="both"/>
              <w:rPr>
                <w:sz w:val="26"/>
                <w:szCs w:val="26"/>
              </w:rPr>
            </w:pPr>
            <w:r>
              <w:rPr>
                <w:b w:val="false"/>
                <w:bCs w:val="false"/>
                <w:i w:val="false"/>
                <w:caps w:val="false"/>
                <w:smallCaps w:val="false"/>
                <w:color w:val="000000"/>
                <w:spacing w:val="0"/>
                <w:sz w:val="26"/>
                <w:szCs w:val="26"/>
              </w:rPr>
              <w:t xml:space="preserve">Закон України “Про загальнообов’язкове державне соціальне страхування” </w:t>
            </w:r>
            <w:r>
              <w:rPr>
                <w:b w:val="false"/>
                <w:bCs w:val="false"/>
                <w:i w:val="false"/>
                <w:caps w:val="false"/>
                <w:smallCaps w:val="false"/>
                <w:color w:val="000000"/>
                <w:spacing w:val="0"/>
                <w:sz w:val="26"/>
                <w:szCs w:val="26"/>
                <w:lang w:val="uk-UA"/>
              </w:rPr>
              <w:t>від 23 вересня 1999 року № 1105-</w:t>
            </w:r>
            <w:r>
              <w:rPr>
                <w:b w:val="false"/>
                <w:bCs w:val="false"/>
                <w:i w:val="false"/>
                <w:caps w:val="false"/>
                <w:smallCaps w:val="false"/>
                <w:color w:val="000000"/>
                <w:spacing w:val="0"/>
                <w:sz w:val="26"/>
                <w:szCs w:val="26"/>
                <w:lang w:val="en-US"/>
              </w:rPr>
              <w:t>XIV;</w:t>
            </w:r>
          </w:p>
          <w:p>
            <w:pPr>
              <w:pStyle w:val="Normal"/>
              <w:widowControl w:val="false"/>
              <w:ind w:left="0" w:right="0" w:hanging="0"/>
              <w:jc w:val="both"/>
              <w:rPr>
                <w:sz w:val="26"/>
                <w:szCs w:val="26"/>
              </w:rPr>
            </w:pPr>
            <w:r>
              <w:rPr>
                <w:caps w:val="false"/>
                <w:smallCaps w:val="false"/>
                <w:color w:val="000000"/>
                <w:spacing w:val="0"/>
                <w:sz w:val="26"/>
                <w:szCs w:val="26"/>
                <w:lang w:val="uk-UA"/>
              </w:rPr>
              <w:t xml:space="preserve">Закон України </w:t>
            </w:r>
            <w:r>
              <w:rPr>
                <w:b w:val="false"/>
                <w:bCs w:val="false"/>
                <w:caps w:val="false"/>
                <w:smallCaps w:val="false"/>
                <w:color w:val="000000"/>
                <w:spacing w:val="0"/>
                <w:sz w:val="26"/>
                <w:szCs w:val="26"/>
                <w:lang w:val="uk-UA"/>
              </w:rPr>
              <w:t>“</w:t>
            </w:r>
            <w:r>
              <w:rPr>
                <w:b w:val="false"/>
                <w:bCs w:val="false"/>
                <w:i w:val="false"/>
                <w:caps w:val="false"/>
                <w:smallCaps w:val="false"/>
                <w:color w:val="000000"/>
                <w:spacing w:val="0"/>
                <w:sz w:val="26"/>
                <w:szCs w:val="26"/>
              </w:rPr>
              <w:t xml:space="preserve">Про </w:t>
            </w:r>
            <w:r>
              <w:rPr>
                <w:b w:val="false"/>
                <w:bCs w:val="false"/>
                <w:i w:val="false"/>
                <w:caps w:val="false"/>
                <w:smallCaps w:val="false"/>
                <w:color w:val="000000"/>
                <w:spacing w:val="0"/>
                <w:sz w:val="26"/>
                <w:szCs w:val="26"/>
                <w:lang w:val="uk-UA"/>
              </w:rPr>
              <w:t>прокуратуру</w:t>
            </w:r>
            <w:r>
              <w:rPr>
                <w:b w:val="false"/>
                <w:bCs w:val="false"/>
                <w:i w:val="false"/>
                <w:caps w:val="false"/>
                <w:smallCaps w:val="false"/>
                <w:color w:val="000000"/>
                <w:spacing w:val="0"/>
                <w:sz w:val="26"/>
                <w:szCs w:val="26"/>
                <w:lang w:val="en-US"/>
              </w:rPr>
              <w:t xml:space="preserve">” </w:t>
            </w:r>
            <w:r>
              <w:rPr>
                <w:b w:val="false"/>
                <w:bCs w:val="false"/>
                <w:i w:val="false"/>
                <w:caps w:val="false"/>
                <w:smallCaps w:val="false"/>
                <w:color w:val="000000"/>
                <w:spacing w:val="0"/>
                <w:sz w:val="26"/>
                <w:szCs w:val="26"/>
                <w:lang w:val="uk-UA"/>
              </w:rPr>
              <w:t xml:space="preserve">від </w:t>
            </w:r>
            <w:r>
              <w:rPr>
                <w:b w:val="false"/>
                <w:bCs w:val="false"/>
                <w:i w:val="false"/>
                <w:caps w:val="false"/>
                <w:smallCaps w:val="false"/>
                <w:color w:val="000000"/>
                <w:spacing w:val="0"/>
                <w:sz w:val="26"/>
                <w:szCs w:val="26"/>
                <w:lang w:val="en-US"/>
              </w:rPr>
              <w:t xml:space="preserve">14 </w:t>
            </w:r>
            <w:r>
              <w:rPr>
                <w:b w:val="false"/>
                <w:bCs w:val="false"/>
                <w:i w:val="false"/>
                <w:caps w:val="false"/>
                <w:smallCaps w:val="false"/>
                <w:color w:val="000000"/>
                <w:spacing w:val="0"/>
                <w:sz w:val="26"/>
                <w:szCs w:val="26"/>
                <w:lang w:val="uk-UA"/>
              </w:rPr>
              <w:t>жовтня 2014 року № 1697-</w:t>
            </w:r>
            <w:r>
              <w:rPr>
                <w:b w:val="false"/>
                <w:bCs w:val="false"/>
                <w:i w:val="false"/>
                <w:caps w:val="false"/>
                <w:smallCaps w:val="false"/>
                <w:color w:val="000000"/>
                <w:spacing w:val="0"/>
                <w:sz w:val="26"/>
                <w:szCs w:val="26"/>
                <w:lang w:val="en-US"/>
              </w:rPr>
              <w:t>VII;</w:t>
            </w:r>
          </w:p>
          <w:p>
            <w:pPr>
              <w:pStyle w:val="Normal"/>
              <w:widowControl w:val="false"/>
              <w:suppressAutoHyphens w:val="true"/>
              <w:overflowPunct w:val="true"/>
              <w:bidi w:val="0"/>
              <w:spacing w:before="0" w:after="0"/>
              <w:ind w:left="57" w:right="57" w:firstLine="567"/>
              <w:jc w:val="both"/>
              <w:rPr>
                <w:sz w:val="26"/>
                <w:szCs w:val="26"/>
              </w:rPr>
            </w:pPr>
            <w:r>
              <w:rPr>
                <w:b w:val="false"/>
                <w:bCs w:val="false"/>
                <w:i w:val="false"/>
                <w:caps w:val="false"/>
                <w:smallCaps w:val="false"/>
                <w:color w:val="000000"/>
                <w:spacing w:val="0"/>
                <w:sz w:val="26"/>
                <w:szCs w:val="26"/>
                <w:lang w:val="uk-UA"/>
              </w:rPr>
              <w:t>Закон України</w:t>
            </w:r>
            <w:r>
              <w:rPr>
                <w:b w:val="false"/>
                <w:bCs w:val="false"/>
                <w:i w:val="false"/>
                <w:caps w:val="false"/>
                <w:smallCaps w:val="false"/>
                <w:color w:val="000000"/>
                <w:spacing w:val="0"/>
                <w:sz w:val="26"/>
                <w:szCs w:val="26"/>
                <w:lang w:val="uk-UA" w:eastAsia="zh-CN" w:bidi="ar-SA"/>
              </w:rPr>
              <w:t xml:space="preserve"> “Про статус і соціальний захист громадян, які постраждали внаслідок Чорнобильської катастрофи” від 28 лютого 1991 року № 796-</w:t>
            </w:r>
            <w:r>
              <w:rPr>
                <w:b w:val="false"/>
                <w:bCs w:val="false"/>
                <w:i w:val="false"/>
                <w:caps w:val="false"/>
                <w:smallCaps w:val="false"/>
                <w:color w:val="000000"/>
                <w:spacing w:val="0"/>
                <w:sz w:val="26"/>
                <w:szCs w:val="26"/>
                <w:lang w:val="en-US" w:eastAsia="zh-CN" w:bidi="ar-SA"/>
              </w:rPr>
              <w:t>XII</w:t>
            </w:r>
            <w:r>
              <w:rPr>
                <w:b w:val="false"/>
                <w:bCs w:val="false"/>
                <w:i w:val="false"/>
                <w:caps w:val="false"/>
                <w:smallCaps w:val="false"/>
                <w:color w:val="000000"/>
                <w:spacing w:val="0"/>
                <w:sz w:val="26"/>
                <w:szCs w:val="26"/>
                <w:lang w:val="uk-UA" w:eastAsia="zh-CN" w:bidi="ar-SA"/>
              </w:rPr>
              <w:t>;</w:t>
            </w:r>
          </w:p>
          <w:p>
            <w:pPr>
              <w:pStyle w:val="Normal"/>
              <w:widowControl w:val="false"/>
              <w:suppressAutoHyphens w:val="true"/>
              <w:overflowPunct w:val="true"/>
              <w:bidi w:val="0"/>
              <w:spacing w:before="0" w:after="0"/>
              <w:ind w:left="57" w:right="57" w:firstLine="567"/>
              <w:jc w:val="both"/>
              <w:rPr>
                <w:sz w:val="26"/>
                <w:szCs w:val="26"/>
              </w:rPr>
            </w:pPr>
            <w:r>
              <w:rPr>
                <w:b w:val="false"/>
                <w:bCs w:val="false"/>
                <w:i w:val="false"/>
                <w:caps w:val="false"/>
                <w:smallCaps w:val="false"/>
                <w:color w:val="000000"/>
                <w:spacing w:val="0"/>
                <w:sz w:val="26"/>
                <w:szCs w:val="26"/>
                <w:lang w:val="uk-UA" w:eastAsia="zh-CN" w:bidi="ar-SA"/>
              </w:rPr>
              <w:t>Закон України "Про судоустрій і статус суддів" від 02 червня 2016 року № 1402-</w:t>
            </w:r>
            <w:r>
              <w:rPr>
                <w:b w:val="false"/>
                <w:bCs w:val="false"/>
                <w:i w:val="false"/>
                <w:caps w:val="false"/>
                <w:smallCaps w:val="false"/>
                <w:color w:val="000000"/>
                <w:spacing w:val="0"/>
                <w:sz w:val="26"/>
                <w:szCs w:val="26"/>
                <w:lang w:val="en-US" w:eastAsia="zh-CN" w:bidi="ar-SA"/>
              </w:rPr>
              <w:t>VIII;</w:t>
            </w:r>
          </w:p>
          <w:p>
            <w:pPr>
              <w:pStyle w:val="Normal"/>
              <w:widowControl w:val="false"/>
              <w:ind w:left="0" w:right="0" w:hanging="0"/>
              <w:jc w:val="both"/>
              <w:rPr>
                <w:sz w:val="26"/>
                <w:szCs w:val="26"/>
              </w:rPr>
            </w:pPr>
            <w:r>
              <w:rPr>
                <w:b w:val="false"/>
                <w:bCs w:val="false"/>
                <w:i w:val="false"/>
                <w:caps w:val="false"/>
                <w:smallCaps w:val="false"/>
                <w:color w:val="000000"/>
                <w:spacing w:val="0"/>
                <w:sz w:val="26"/>
                <w:szCs w:val="26"/>
                <w:lang w:val="uk-UA" w:eastAsia="zh-CN" w:bidi="ar-SA"/>
              </w:rPr>
              <w:t>Закон України “Про пенсійне забезпечення осіб, звільнених з військової служби, та деяких інших осіб” від 09 квітня 1992 року № 2262-</w:t>
            </w:r>
            <w:r>
              <w:rPr>
                <w:b w:val="false"/>
                <w:bCs w:val="false"/>
                <w:i w:val="false"/>
                <w:caps w:val="false"/>
                <w:smallCaps w:val="false"/>
                <w:color w:val="000000"/>
                <w:spacing w:val="0"/>
                <w:sz w:val="26"/>
                <w:szCs w:val="26"/>
                <w:lang w:val="en-US" w:eastAsia="zh-CN" w:bidi="ar-SA"/>
              </w:rPr>
              <w:t>XII</w:t>
            </w:r>
            <w:r>
              <w:rPr>
                <w:b w:val="false"/>
                <w:bCs w:val="false"/>
                <w:i w:val="false"/>
                <w:caps w:val="false"/>
                <w:smallCaps w:val="false"/>
                <w:color w:val="000000"/>
                <w:spacing w:val="0"/>
                <w:sz w:val="26"/>
                <w:szCs w:val="26"/>
                <w:lang w:val="uk-UA" w:eastAsia="zh-CN" w:bidi="ar-SA"/>
              </w:rPr>
              <w:t>;</w:t>
            </w:r>
          </w:p>
          <w:p>
            <w:pPr>
              <w:pStyle w:val="Normal"/>
              <w:widowControl w:val="false"/>
              <w:suppressAutoHyphens w:val="true"/>
              <w:overflowPunct w:val="true"/>
              <w:bidi w:val="0"/>
              <w:spacing w:before="0" w:after="0"/>
              <w:ind w:left="57" w:right="57" w:firstLine="624"/>
              <w:jc w:val="both"/>
              <w:rPr>
                <w:sz w:val="26"/>
                <w:szCs w:val="26"/>
              </w:rPr>
            </w:pPr>
            <w:r>
              <w:rPr>
                <w:b w:val="false"/>
                <w:bCs w:val="false"/>
                <w:i w:val="false"/>
                <w:caps w:val="false"/>
                <w:smallCaps w:val="false"/>
                <w:color w:val="000000"/>
                <w:spacing w:val="0"/>
                <w:sz w:val="26"/>
                <w:szCs w:val="26"/>
                <w:lang w:val="uk-UA" w:eastAsia="zh-CN" w:bidi="ar-SA"/>
              </w:rPr>
              <w:t>Постанова Пенсійного фонду України від 25 листопада 2005 року №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w:t>
            </w:r>
            <w:r>
              <w:rPr>
                <w:b w:val="false"/>
                <w:bCs w:val="false"/>
                <w:i w:val="false"/>
                <w:caps w:val="false"/>
                <w:smallCaps w:val="false"/>
                <w:color w:val="000000"/>
                <w:spacing w:val="0"/>
                <w:sz w:val="26"/>
                <w:szCs w:val="26"/>
                <w:lang w:val="en-US" w:eastAsia="zh-CN" w:bidi="ar-SA"/>
              </w:rPr>
              <w:t>;</w:t>
            </w:r>
          </w:p>
          <w:p>
            <w:pPr>
              <w:pStyle w:val="Normal"/>
              <w:widowControl w:val="false"/>
              <w:suppressAutoHyphens w:val="true"/>
              <w:overflowPunct w:val="true"/>
              <w:bidi w:val="0"/>
              <w:spacing w:before="0" w:after="0"/>
              <w:ind w:left="57" w:right="57" w:firstLine="567"/>
              <w:jc w:val="both"/>
              <w:rPr>
                <w:sz w:val="26"/>
                <w:szCs w:val="26"/>
              </w:rPr>
            </w:pPr>
            <w:r>
              <w:rPr>
                <w:b w:val="false"/>
                <w:bCs w:val="false"/>
                <w:i w:val="false"/>
                <w:caps w:val="false"/>
                <w:smallCaps w:val="false"/>
                <w:color w:val="000000"/>
                <w:spacing w:val="0"/>
                <w:sz w:val="26"/>
                <w:szCs w:val="26"/>
                <w:lang w:val="uk-UA" w:eastAsia="zh-CN" w:bidi="ar-SA"/>
              </w:rPr>
              <w:t>Постанова Пенсійного фонду України від 30 липня 2015 року № 13-1 “Про організацію прийому та обслуговування осіб, які звертаються до органів Пенсійного фонду України”;</w:t>
            </w:r>
          </w:p>
          <w:p>
            <w:pPr>
              <w:pStyle w:val="Normal"/>
              <w:widowControl w:val="false"/>
              <w:suppressAutoHyphens w:val="true"/>
              <w:overflowPunct w:val="true"/>
              <w:bidi w:val="0"/>
              <w:spacing w:before="0" w:after="0"/>
              <w:ind w:left="57" w:right="57" w:firstLine="510"/>
              <w:jc w:val="both"/>
              <w:rPr>
                <w:sz w:val="26"/>
                <w:szCs w:val="26"/>
              </w:rPr>
            </w:pPr>
            <w:r>
              <w:rPr>
                <w:b w:val="false"/>
                <w:bCs w:val="false"/>
                <w:i w:val="false"/>
                <w:caps w:val="false"/>
                <w:smallCaps w:val="false"/>
                <w:color w:val="000000"/>
                <w:spacing w:val="0"/>
                <w:sz w:val="26"/>
                <w:szCs w:val="26"/>
                <w:lang w:val="uk-UA" w:eastAsia="zh-CN" w:bidi="ar-SA"/>
              </w:rPr>
              <w:t>Постанова Кабінету Міністрів України від 04 червня 2015 року № 373 “Про затвердження Порядку надання пільг окремим категоріям громадян з урахуванням середньомісячного сукупного доходу сім’ї”;</w:t>
            </w:r>
          </w:p>
          <w:p>
            <w:pPr>
              <w:pStyle w:val="Normal"/>
              <w:widowControl w:val="false"/>
              <w:suppressAutoHyphens w:val="true"/>
              <w:overflowPunct w:val="true"/>
              <w:bidi w:val="0"/>
              <w:spacing w:before="0" w:after="0"/>
              <w:ind w:left="57" w:right="57" w:firstLine="510"/>
              <w:jc w:val="both"/>
              <w:rPr>
                <w:sz w:val="26"/>
                <w:szCs w:val="26"/>
              </w:rPr>
            </w:pPr>
            <w:r>
              <w:rPr>
                <w:b w:val="false"/>
                <w:bCs w:val="false"/>
                <w:i w:val="false"/>
                <w:caps w:val="false"/>
                <w:smallCaps w:val="false"/>
                <w:color w:val="000000"/>
                <w:spacing w:val="0"/>
                <w:sz w:val="26"/>
                <w:szCs w:val="26"/>
                <w:lang w:val="uk-UA" w:eastAsia="zh-CN" w:bidi="ar-SA"/>
              </w:rPr>
              <w:t xml:space="preserve">Постанова Кабінету Міністрів України від 21 жовтня 1995 року № 848 “Про </w:t>
            </w:r>
            <w:r>
              <w:rPr>
                <w:b w:val="false"/>
                <w:bCs w:val="false"/>
                <w:color w:val="000000"/>
                <w:sz w:val="26"/>
                <w:szCs w:val="26"/>
              </w:rPr>
              <w:t>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bookmarkStart w:id="1" w:name="Про_спрощення_порядку_надання_населенню_"/>
          </w:p>
          <w:p>
            <w:pPr>
              <w:pStyle w:val="Normal"/>
              <w:widowControl w:val="false"/>
              <w:suppressAutoHyphens w:val="true"/>
              <w:overflowPunct w:val="true"/>
              <w:bidi w:val="0"/>
              <w:spacing w:before="0" w:after="0"/>
              <w:ind w:left="57" w:right="57" w:firstLine="510"/>
              <w:jc w:val="both"/>
              <w:rPr>
                <w:sz w:val="26"/>
                <w:szCs w:val="26"/>
              </w:rPr>
            </w:pPr>
            <w:r>
              <w:rPr>
                <w:b w:val="false"/>
                <w:bCs w:val="false"/>
                <w:i w:val="false"/>
                <w:caps w:val="false"/>
                <w:smallCaps w:val="false"/>
                <w:color w:val="000000"/>
                <w:spacing w:val="0"/>
                <w:sz w:val="26"/>
                <w:szCs w:val="26"/>
                <w:lang w:val="uk-UA" w:eastAsia="zh-CN" w:bidi="ar-SA"/>
              </w:rPr>
              <w:t>Постанова Правління Пенсійного Фонду України від 26 січня 2024 року № 4-1 “Про затвердження Порядку призначення, перерахування та здійснення страхових виплат за загальнообов’язковим державним соціальним страхуванням від нещасного випадку на виробництві та професійного захворювання, які спричинили втрату працездатності”.</w:t>
            </w:r>
            <w:bookmarkEnd w:id="1"/>
          </w:p>
        </w:tc>
      </w:tr>
    </w:tbl>
    <w:p>
      <w:pPr>
        <w:pStyle w:val="Normal"/>
        <w:suppressAutoHyphens w:val="false"/>
        <w:snapToGrid w:val="false"/>
        <w:jc w:val="center"/>
        <w:rPr>
          <w:sz w:val="26"/>
          <w:szCs w:val="26"/>
        </w:rPr>
      </w:pPr>
      <w:r>
        <w:rPr/>
      </w:r>
    </w:p>
    <w:sectPr>
      <w:headerReference w:type="default" r:id="rId3"/>
      <w:type w:val="nextPage"/>
      <w:pgSz w:w="11906" w:h="16838"/>
      <w:pgMar w:left="1701" w:right="567" w:gutter="0" w:header="1134" w:top="1648" w:footer="0" w:bottom="1134"/>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Calibri">
    <w:charset w:val="cc"/>
    <w:family w:val="roman"/>
    <w:pitch w:val="variable"/>
  </w:font>
  <w:font w:name="Arial Unicode MS">
    <w:charset w:val="cc"/>
    <w:family w:val="roman"/>
    <w:pitch w:val="variable"/>
  </w:font>
  <w:font w:name="Sylfaen">
    <w:charset w:val="cc"/>
    <w:family w:val="roman"/>
    <w:pitch w:val="variable"/>
  </w:font>
  <w:font w:name="Arial">
    <w:charset w:val="cc"/>
    <w:family w:val="roman"/>
    <w:pitch w:val="variable"/>
  </w:font>
  <w:font w:name="Liberation Mono">
    <w:altName w:val="Courier New"/>
    <w:charset w:val="cc"/>
    <w:family w:val="roman"/>
    <w:pitch w:val="variable"/>
  </w:font>
  <w:font w:name="Verdana">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30"/>
      <w:jc w:val="center"/>
      <w:rPr/>
    </w:pPr>
    <w:r>
      <w:rPr/>
      <w:t xml:space="preserve">                                                                                              </w:t>
    </w:r>
    <w:r>
      <w:rPr/>
      <w:fldChar w:fldCharType="begin"/>
    </w:r>
    <w:r>
      <w:rPr/>
      <w:instrText xml:space="preserve"> PAGE </w:instrText>
    </w:r>
    <w:r>
      <w:rPr/>
      <w:fldChar w:fldCharType="separate"/>
    </w:r>
    <w:r>
      <w:rPr/>
      <w:t>5</w:t>
    </w:r>
    <w:r>
      <w:rPr/>
      <w:fldChar w:fldCharType="end"/>
    </w:r>
    <w:r>
      <w:rPr/>
      <w:t xml:space="preserve">                                               </w:t>
    </w:r>
    <w:r>
      <w:rPr>
        <w:rFonts w:ascii="Liberation Serif" w:hAnsi="Liberation Serif"/>
      </w:rPr>
      <w:t>П</w:t>
    </w:r>
    <w:r>
      <w:rPr>
        <w:rFonts w:ascii="Liberation Serif" w:hAnsi="Liberation Serif"/>
        <w:sz w:val="26"/>
        <w:szCs w:val="26"/>
      </w:rPr>
      <w:t>родовження додатка</w:t>
    </w:r>
  </w:p>
</w:hd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Lucida Sans Unicode" w:cs="Mangal"/>
        <w:szCs w:val="22"/>
        <w:lang w:val="uk-UA" w:eastAsia="uk-UA" w:bidi="ar-SA"/>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Times New Roman" w:hAnsi="Times New Roman" w:eastAsia="Times New Roman" w:cs="Times New Roman"/>
      <w:color w:val="00000A"/>
      <w:kern w:val="0"/>
      <w:sz w:val="20"/>
      <w:szCs w:val="20"/>
      <w:lang w:val="uk-UA" w:eastAsia="zh-CN" w:bidi="ar-SA"/>
    </w:rPr>
  </w:style>
  <w:style w:type="paragraph" w:styleId="1">
    <w:name w:val="Heading 1"/>
    <w:basedOn w:val="Normal"/>
    <w:next w:val="Normal"/>
    <w:link w:val="Heading1Char"/>
    <w:qFormat/>
    <w:pPr>
      <w:keepNext w:val="true"/>
      <w:outlineLvl w:val="0"/>
    </w:pPr>
    <w:rPr>
      <w:b/>
      <w:sz w:val="28"/>
    </w:rPr>
  </w:style>
  <w:style w:type="paragraph" w:styleId="2">
    <w:name w:val="Heading 2"/>
    <w:basedOn w:val="Normal"/>
    <w:next w:val="Normal"/>
    <w:link w:val="Heading2Char"/>
    <w:qFormat/>
    <w:pPr>
      <w:keepNext w:val="true"/>
      <w:jc w:val="center"/>
      <w:outlineLvl w:val="1"/>
    </w:pPr>
    <w:rPr>
      <w:b/>
      <w:sz w:val="32"/>
      <w:lang w:val="ru-RU"/>
    </w:rPr>
  </w:style>
  <w:style w:type="paragraph" w:styleId="3">
    <w:name w:val="Heading 3"/>
    <w:basedOn w:val="Normal"/>
    <w:next w:val="Normal"/>
    <w:link w:val="Heading3Char"/>
    <w:qFormat/>
    <w:pPr>
      <w:keepNext w:val="true"/>
      <w:spacing w:lineRule="atLeast" w:line="240"/>
      <w:outlineLvl w:val="2"/>
    </w:pPr>
    <w:rPr>
      <w:sz w:val="28"/>
    </w:rPr>
  </w:style>
  <w:style w:type="paragraph" w:styleId="4">
    <w:name w:val="Heading 4"/>
    <w:basedOn w:val="Normal"/>
    <w:next w:val="Normal"/>
    <w:link w:val="Heading4Char"/>
    <w:qFormat/>
    <w:pPr>
      <w:keepNext w:val="true"/>
      <w:spacing w:lineRule="atLeast" w:line="240"/>
      <w:ind w:left="0" w:right="3712" w:hanging="0"/>
      <w:outlineLvl w:val="3"/>
    </w:pPr>
    <w:rPr>
      <w:b/>
      <w:sz w:val="28"/>
    </w:rPr>
  </w:style>
  <w:style w:type="paragraph" w:styleId="5">
    <w:name w:val="Heading 5"/>
    <w:basedOn w:val="Normal"/>
    <w:next w:val="Normal"/>
    <w:link w:val="Heading5Char"/>
    <w:qFormat/>
    <w:pPr>
      <w:keepNext w:val="true"/>
      <w:jc w:val="right"/>
      <w:outlineLvl w:val="4"/>
    </w:pPr>
    <w:rPr>
      <w:sz w:val="24"/>
      <w:lang w:val="en-US"/>
    </w:rPr>
  </w:style>
  <w:style w:type="paragraph" w:styleId="6">
    <w:name w:val="Heading 6"/>
    <w:basedOn w:val="Style9"/>
    <w:link w:val="Heading6Char"/>
    <w:qFormat/>
    <w:pPr>
      <w:outlineLvl w:val="5"/>
    </w:pPr>
    <w:rPr>
      <w:b/>
      <w:bCs/>
      <w:sz w:val="21"/>
      <w:szCs w:val="21"/>
    </w:rPr>
  </w:style>
  <w:style w:type="paragraph" w:styleId="7">
    <w:name w:val="Heading 7"/>
    <w:basedOn w:val="Style9"/>
    <w:link w:val="Heading7Char"/>
    <w:qFormat/>
    <w:pPr>
      <w:outlineLvl w:val="6"/>
    </w:pPr>
    <w:rPr>
      <w:b/>
      <w:bCs/>
      <w:sz w:val="21"/>
      <w:szCs w:val="21"/>
    </w:rPr>
  </w:style>
  <w:style w:type="paragraph" w:styleId="8">
    <w:name w:val="Heading 8"/>
    <w:basedOn w:val="Style9"/>
    <w:link w:val="Heading8Char"/>
    <w:qFormat/>
    <w:pPr>
      <w:outlineLvl w:val="7"/>
    </w:pPr>
    <w:rPr>
      <w:b/>
      <w:bCs/>
      <w:sz w:val="21"/>
      <w:szCs w:val="21"/>
    </w:rPr>
  </w:style>
  <w:style w:type="paragraph" w:styleId="9">
    <w:name w:val="Heading 9"/>
    <w:basedOn w:val="Style9"/>
    <w:link w:val="Heading9Char"/>
    <w:qFormat/>
    <w:pPr>
      <w:outlineLvl w:val="8"/>
    </w:pPr>
    <w:rPr>
      <w:b/>
      <w:bCs/>
      <w:sz w:val="21"/>
      <w:szCs w:val="21"/>
    </w:rPr>
  </w:style>
  <w:style w:type="character" w:styleId="DefaultParagraphFont">
    <w:name w:val="Default Paragraph Font"/>
    <w:qFormat/>
    <w:rPr/>
  </w:style>
  <w:style w:type="character" w:styleId="Heading1Char">
    <w:name w:val="Heading 1 Char"/>
    <w:basedOn w:val="DefaultParagraphFont"/>
    <w:qFormat/>
    <w:rPr>
      <w:rFonts w:ascii="Cambria" w:hAnsi="Cambria" w:eastAsia="Lucida Sans Unicode" w:cs="Mangal"/>
      <w:b/>
      <w:bCs/>
      <w:color w:val="00000A"/>
      <w:kern w:val="2"/>
      <w:sz w:val="32"/>
      <w:szCs w:val="32"/>
      <w:lang w:eastAsia="zh-CN"/>
    </w:rPr>
  </w:style>
  <w:style w:type="character" w:styleId="Heading2Char">
    <w:name w:val="Heading 2 Char"/>
    <w:basedOn w:val="DefaultParagraphFont"/>
    <w:qFormat/>
    <w:rPr>
      <w:rFonts w:ascii="Cambria" w:hAnsi="Cambria" w:eastAsia="Lucida Sans Unicode" w:cs="Mangal"/>
      <w:b/>
      <w:bCs/>
      <w:i/>
      <w:iCs/>
      <w:color w:val="00000A"/>
      <w:sz w:val="28"/>
      <w:szCs w:val="28"/>
      <w:lang w:eastAsia="zh-CN"/>
    </w:rPr>
  </w:style>
  <w:style w:type="character" w:styleId="Heading3Char">
    <w:name w:val="Heading 3 Char"/>
    <w:basedOn w:val="DefaultParagraphFont"/>
    <w:qFormat/>
    <w:rPr>
      <w:rFonts w:ascii="Cambria" w:hAnsi="Cambria" w:eastAsia="Lucida Sans Unicode" w:cs="Mangal"/>
      <w:b/>
      <w:bCs/>
      <w:color w:val="00000A"/>
      <w:sz w:val="26"/>
      <w:szCs w:val="26"/>
      <w:lang w:eastAsia="zh-CN"/>
    </w:rPr>
  </w:style>
  <w:style w:type="character" w:styleId="Heading4Char">
    <w:name w:val="Heading 4 Char"/>
    <w:basedOn w:val="DefaultParagraphFont"/>
    <w:qFormat/>
    <w:rPr>
      <w:rFonts w:ascii="Calibri" w:hAnsi="Calibri" w:eastAsia="Lucida Sans Unicode" w:cs="Mangal"/>
      <w:b/>
      <w:bCs/>
      <w:color w:val="00000A"/>
      <w:sz w:val="28"/>
      <w:szCs w:val="28"/>
      <w:lang w:eastAsia="zh-CN"/>
    </w:rPr>
  </w:style>
  <w:style w:type="character" w:styleId="Heading5Char">
    <w:name w:val="Heading 5 Char"/>
    <w:basedOn w:val="DefaultParagraphFont"/>
    <w:qFormat/>
    <w:rPr>
      <w:rFonts w:ascii="Calibri" w:hAnsi="Calibri" w:eastAsia="Lucida Sans Unicode" w:cs="Mangal"/>
      <w:b/>
      <w:bCs/>
      <w:i/>
      <w:iCs/>
      <w:color w:val="00000A"/>
      <w:sz w:val="26"/>
      <w:szCs w:val="26"/>
      <w:lang w:eastAsia="zh-CN"/>
    </w:rPr>
  </w:style>
  <w:style w:type="character" w:styleId="Heading6Char">
    <w:name w:val="Heading 6 Char"/>
    <w:basedOn w:val="DefaultParagraphFont"/>
    <w:qFormat/>
    <w:rPr>
      <w:rFonts w:ascii="Calibri" w:hAnsi="Calibri" w:eastAsia="Lucida Sans Unicode" w:cs="Mangal"/>
      <w:b/>
      <w:bCs/>
      <w:color w:val="00000A"/>
      <w:lang w:eastAsia="zh-CN"/>
    </w:rPr>
  </w:style>
  <w:style w:type="character" w:styleId="Heading7Char">
    <w:name w:val="Heading 7 Char"/>
    <w:basedOn w:val="DefaultParagraphFont"/>
    <w:qFormat/>
    <w:rPr>
      <w:rFonts w:ascii="Calibri" w:hAnsi="Calibri" w:eastAsia="Lucida Sans Unicode" w:cs="Mangal"/>
      <w:color w:val="00000A"/>
      <w:sz w:val="24"/>
      <w:szCs w:val="24"/>
      <w:lang w:eastAsia="zh-CN"/>
    </w:rPr>
  </w:style>
  <w:style w:type="character" w:styleId="Heading8Char">
    <w:name w:val="Heading 8 Char"/>
    <w:basedOn w:val="DefaultParagraphFont"/>
    <w:qFormat/>
    <w:rPr>
      <w:rFonts w:ascii="Calibri" w:hAnsi="Calibri" w:eastAsia="Lucida Sans Unicode" w:cs="Mangal"/>
      <w:i/>
      <w:iCs/>
      <w:color w:val="00000A"/>
      <w:sz w:val="24"/>
      <w:szCs w:val="24"/>
      <w:lang w:eastAsia="zh-CN"/>
    </w:rPr>
  </w:style>
  <w:style w:type="character" w:styleId="Heading9Char">
    <w:name w:val="Heading 9 Char"/>
    <w:basedOn w:val="DefaultParagraphFont"/>
    <w:qFormat/>
    <w:rPr>
      <w:rFonts w:ascii="Cambria" w:hAnsi="Cambria" w:eastAsia="Lucida Sans Unicode" w:cs="Mangal"/>
      <w:color w:val="00000A"/>
      <w:lang w:eastAsia="zh-CN"/>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Style5">
    <w:name w:val="Основний шрифт абзацу"/>
    <w:qFormat/>
    <w:rPr/>
  </w:style>
  <w:style w:type="character" w:styleId="BodyTextChar">
    <w:name w:val="Body Text Char"/>
    <w:basedOn w:val="DefaultParagraphFont"/>
    <w:qFormat/>
    <w:rPr>
      <w:rFonts w:ascii="Times New Roman" w:hAnsi="Times New Roman" w:eastAsia="Times New Roman" w:cs="Times New Roman"/>
      <w:color w:val="00000A"/>
      <w:sz w:val="20"/>
      <w:szCs w:val="20"/>
      <w:lang w:eastAsia="zh-CN"/>
    </w:rPr>
  </w:style>
  <w:style w:type="character" w:styleId="TitleChar">
    <w:name w:val="Title Char"/>
    <w:basedOn w:val="DefaultParagraphFont"/>
    <w:qFormat/>
    <w:rPr>
      <w:rFonts w:ascii="Cambria" w:hAnsi="Cambria" w:eastAsia="Lucida Sans Unicode" w:cs="Mangal"/>
      <w:b/>
      <w:bCs/>
      <w:color w:val="00000A"/>
      <w:kern w:val="2"/>
      <w:sz w:val="32"/>
      <w:szCs w:val="32"/>
      <w:lang w:eastAsia="zh-CN"/>
    </w:rPr>
  </w:style>
  <w:style w:type="character" w:styleId="BodyTextIndentChar">
    <w:name w:val="Body Text Indent Char"/>
    <w:basedOn w:val="DefaultParagraphFont"/>
    <w:qFormat/>
    <w:rPr>
      <w:rFonts w:ascii="Times New Roman" w:hAnsi="Times New Roman" w:eastAsia="Times New Roman" w:cs="Times New Roman"/>
      <w:color w:val="00000A"/>
      <w:sz w:val="20"/>
      <w:szCs w:val="20"/>
      <w:lang w:eastAsia="zh-CN"/>
    </w:rPr>
  </w:style>
  <w:style w:type="character" w:styleId="SubtitleChar">
    <w:name w:val="Subtitle Char"/>
    <w:basedOn w:val="DefaultParagraphFont"/>
    <w:qFormat/>
    <w:rPr>
      <w:rFonts w:ascii="Cambria" w:hAnsi="Cambria" w:eastAsia="Lucida Sans Unicode" w:cs="Mangal"/>
      <w:color w:val="00000A"/>
      <w:sz w:val="24"/>
      <w:szCs w:val="24"/>
      <w:lang w:eastAsia="zh-CN"/>
    </w:rPr>
  </w:style>
  <w:style w:type="character" w:styleId="Csd2c743de">
    <w:name w:val="csd2c743de"/>
    <w:basedOn w:val="DefaultParagraphFont"/>
    <w:qFormat/>
    <w:rPr/>
  </w:style>
  <w:style w:type="character" w:styleId="Style6">
    <w:name w:val="Основной шрифт абзаца"/>
    <w:qFormat/>
    <w:rPr/>
  </w:style>
  <w:style w:type="character" w:styleId="Style7">
    <w:name w:val="Hyperlink"/>
    <w:rPr>
      <w:color w:val="000080"/>
      <w:u w:val="single"/>
      <w:lang w:val="zxx" w:eastAsia="zxx" w:bidi="zxx"/>
    </w:rPr>
  </w:style>
  <w:style w:type="character" w:styleId="DefaultFontStyle">
    <w:name w:val="DefaultFontStyle"/>
    <w:qFormat/>
    <w:rPr>
      <w:rFonts w:ascii="Arial Unicode MS" w:hAnsi="Arial Unicode MS" w:eastAsia="Arial Unicode MS" w:cs="Arial Unicode MS"/>
      <w:color w:val="000000"/>
      <w:spacing w:val="0"/>
      <w:w w:val="100"/>
      <w:position w:val="0"/>
      <w:sz w:val="24"/>
      <w:sz w:val="24"/>
      <w:szCs w:val="24"/>
      <w:vertAlign w:val="baseline"/>
      <w:lang w:val="uk-UA" w:eastAsia="uk-UA" w:bidi="uk-UA"/>
    </w:rPr>
  </w:style>
  <w:style w:type="character" w:styleId="CharStyle17">
    <w:name w:val="CharStyle17"/>
    <w:basedOn w:val="DefaultFontStyle"/>
    <w:qFormat/>
    <w:rPr>
      <w:rFonts w:ascii="Sylfaen" w:hAnsi="Sylfaen" w:eastAsia="Sylfaen" w:cs="Sylfaen"/>
      <w:b w:val="false"/>
      <w:bCs w:val="false"/>
      <w:i w:val="false"/>
      <w:iCs w:val="false"/>
      <w:strike w:val="false"/>
      <w:dstrike w:val="false"/>
      <w:sz w:val="22"/>
      <w:szCs w:val="22"/>
      <w:u w:val="none"/>
    </w:rPr>
  </w:style>
  <w:style w:type="character" w:styleId="CharStyle18">
    <w:name w:val="CharStyle18"/>
    <w:basedOn w:val="CharStyle17"/>
    <w:qFormat/>
    <w:rPr>
      <w:color w:val="000000"/>
      <w:spacing w:val="0"/>
      <w:w w:val="100"/>
      <w:position w:val="0"/>
      <w:sz w:val="22"/>
      <w:sz w:val="22"/>
      <w:vertAlign w:val="baseline"/>
      <w:lang w:val="uk-UA" w:eastAsia="uk-UA" w:bidi="uk-UA"/>
    </w:rPr>
  </w:style>
  <w:style w:type="character" w:styleId="CharStyle7">
    <w:name w:val="CharStyle7"/>
    <w:basedOn w:val="DefaultFontStyle"/>
    <w:qFormat/>
    <w:rPr>
      <w:rFonts w:ascii="Times New Roman" w:hAnsi="Times New Roman" w:eastAsia="Times New Roman" w:cs="Times New Roman"/>
      <w:b w:val="false"/>
      <w:bCs w:val="false"/>
      <w:i w:val="false"/>
      <w:iCs w:val="false"/>
      <w:strike w:val="false"/>
      <w:dstrike w:val="false"/>
      <w:sz w:val="28"/>
      <w:szCs w:val="28"/>
      <w:u w:val="none"/>
    </w:rPr>
  </w:style>
  <w:style w:type="character" w:styleId="Style8">
    <w:name w:val="Интернет-ссылка"/>
    <w:qFormat/>
    <w:rPr>
      <w:color w:val="000080"/>
      <w:u w:val="single"/>
      <w:lang w:val="zxx" w:eastAsia="zxx" w:bidi="zxx"/>
    </w:rPr>
  </w:style>
  <w:style w:type="character" w:styleId="CharStyle4">
    <w:name w:val="CharStyle4"/>
    <w:qFormat/>
    <w:rPr>
      <w:rFonts w:ascii="Times New Roman" w:hAnsi="Times New Roman" w:eastAsia="Times New Roman" w:cs="Times New Roman"/>
      <w:b w:val="false"/>
      <w:bCs w:val="false"/>
      <w:i w:val="false"/>
      <w:iCs w:val="false"/>
      <w:strike w:val="false"/>
      <w:dstrike w:val="false"/>
      <w:color w:val="000000"/>
      <w:spacing w:val="0"/>
      <w:w w:val="100"/>
      <w:u w:val="none"/>
      <w:lang w:eastAsia="uk-UA" w:bidi="uk-UA"/>
    </w:rPr>
  </w:style>
  <w:style w:type="character" w:styleId="CharStyle22">
    <w:name w:val="CharStyle22"/>
    <w:qFormat/>
    <w:rPr>
      <w:rFonts w:ascii="Times New Roman" w:hAnsi="Times New Roman" w:eastAsia="Times New Roman" w:cs="Times New Roman"/>
      <w:b w:val="false"/>
      <w:bCs w:val="false"/>
      <w:i w:val="false"/>
      <w:iCs w:val="false"/>
      <w:strike w:val="false"/>
      <w:dstrike w:val="false"/>
      <w:color w:val="000000"/>
      <w:spacing w:val="0"/>
      <w:w w:val="100"/>
      <w:u w:val="none"/>
      <w:lang w:eastAsia="uk-UA" w:bidi="uk-UA"/>
    </w:rPr>
  </w:style>
  <w:style w:type="character" w:styleId="FontStyle15">
    <w:name w:val="Font Style15"/>
    <w:qFormat/>
    <w:rPr>
      <w:rFonts w:ascii="Times New Roman" w:hAnsi="Times New Roman" w:cs="Times New Roman"/>
      <w:sz w:val="24"/>
      <w:szCs w:val="24"/>
    </w:rPr>
  </w:style>
  <w:style w:type="character" w:styleId="Bodytext">
    <w:name w:val="Body text_"/>
    <w:qFormat/>
    <w:rPr>
      <w:rFonts w:ascii="Times New Roman" w:hAnsi="Times New Roman" w:eastAsia="Times New Roman" w:cs="Times New Roman"/>
      <w:color w:val="000000"/>
      <w:sz w:val="24"/>
      <w:szCs w:val="26"/>
      <w:lang w:eastAsia="ar-SA"/>
    </w:rPr>
  </w:style>
  <w:style w:type="paragraph" w:styleId="Style9">
    <w:name w:val="Заголовок"/>
    <w:basedOn w:val="Normal"/>
    <w:next w:val="Style10"/>
    <w:qFormat/>
    <w:pPr>
      <w:keepNext w:val="true"/>
      <w:spacing w:before="240" w:after="120"/>
    </w:pPr>
    <w:rPr>
      <w:rFonts w:ascii="Arial" w:hAnsi="Arial" w:eastAsia="Lucida Sans Unicode" w:cs="Mangal"/>
      <w:sz w:val="28"/>
      <w:szCs w:val="28"/>
    </w:rPr>
  </w:style>
  <w:style w:type="paragraph" w:styleId="Style10">
    <w:name w:val="Body Text"/>
    <w:basedOn w:val="Normal"/>
    <w:link w:val="BodyTextChar"/>
    <w:pPr>
      <w:spacing w:lineRule="atLeast" w:line="240"/>
    </w:pPr>
    <w:rPr>
      <w:sz w:val="28"/>
    </w:rPr>
  </w:style>
  <w:style w:type="paragraph" w:styleId="Style11">
    <w:name w:val="List"/>
    <w:basedOn w:val="Style10"/>
    <w:pPr/>
    <w:rPr>
      <w:rFonts w:cs="Mangal"/>
    </w:rPr>
  </w:style>
  <w:style w:type="paragraph" w:styleId="Style12">
    <w:name w:val="Caption"/>
    <w:basedOn w:val="Normal"/>
    <w:qFormat/>
    <w:pPr>
      <w:suppressLineNumbers/>
      <w:spacing w:before="120" w:after="120"/>
    </w:pPr>
    <w:rPr>
      <w:rFonts w:cs="Mangal"/>
      <w:i/>
      <w:iCs/>
      <w:sz w:val="24"/>
      <w:szCs w:val="24"/>
    </w:rPr>
  </w:style>
  <w:style w:type="paragraph" w:styleId="Style13">
    <w:name w:val="Покажчик"/>
    <w:basedOn w:val="Normal"/>
    <w:qFormat/>
    <w:pPr>
      <w:suppressLineNumbers/>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Style14">
    <w:name w:val="Title"/>
    <w:basedOn w:val="Style9"/>
    <w:link w:val="TitleChar"/>
    <w:qFormat/>
    <w:pPr>
      <w:jc w:val="center"/>
    </w:pPr>
    <w:rPr>
      <w:b/>
      <w:bCs/>
      <w:sz w:val="56"/>
      <w:szCs w:val="56"/>
    </w:rPr>
  </w:style>
  <w:style w:type="paragraph" w:styleId="Index1">
    <w:name w:val="index 1"/>
    <w:basedOn w:val="Normal"/>
    <w:next w:val="Normal"/>
    <w:autoRedefine/>
    <w:qFormat/>
    <w:pPr>
      <w:ind w:left="200" w:right="0" w:hanging="200"/>
    </w:pPr>
    <w:rPr/>
  </w:style>
  <w:style w:type="paragraph" w:styleId="Indexheading">
    <w:name w:val="index heading"/>
    <w:basedOn w:val="Normal"/>
    <w:qFormat/>
    <w:pPr>
      <w:suppressLineNumbers/>
    </w:pPr>
    <w:rPr>
      <w:rFonts w:cs="Mangal"/>
    </w:rPr>
  </w:style>
  <w:style w:type="paragraph" w:styleId="21">
    <w:name w:val="Основний текст з відступом 2"/>
    <w:basedOn w:val="Normal"/>
    <w:qFormat/>
    <w:pPr>
      <w:spacing w:lineRule="atLeast" w:line="240"/>
      <w:ind w:left="0" w:right="0" w:firstLine="720"/>
    </w:pPr>
    <w:rPr>
      <w:sz w:val="28"/>
    </w:rPr>
  </w:style>
  <w:style w:type="paragraph" w:styleId="Style15">
    <w:name w:val="Body Text Indent"/>
    <w:basedOn w:val="Normal"/>
    <w:link w:val="BodyTextIndentChar"/>
    <w:pPr>
      <w:ind w:left="720" w:right="0" w:hanging="0"/>
    </w:pPr>
    <w:rPr>
      <w:sz w:val="28"/>
    </w:rPr>
  </w:style>
  <w:style w:type="paragraph" w:styleId="Style16">
    <w:name w:val="Назва об'єкта"/>
    <w:basedOn w:val="Normal"/>
    <w:next w:val="Normal"/>
    <w:qFormat/>
    <w:pPr>
      <w:jc w:val="center"/>
    </w:pPr>
    <w:rPr>
      <w:color w:val="000000"/>
      <w:sz w:val="40"/>
    </w:rPr>
  </w:style>
  <w:style w:type="paragraph" w:styleId="22">
    <w:name w:val="Основний текст 2"/>
    <w:basedOn w:val="Normal"/>
    <w:qFormat/>
    <w:pPr>
      <w:spacing w:lineRule="atLeast" w:line="240"/>
      <w:jc w:val="both"/>
    </w:pPr>
    <w:rPr>
      <w:sz w:val="28"/>
    </w:rPr>
  </w:style>
  <w:style w:type="paragraph" w:styleId="Style17">
    <w:name w:val="Содержимое таблицы"/>
    <w:basedOn w:val="Normal"/>
    <w:qFormat/>
    <w:pPr>
      <w:suppressLineNumbers/>
    </w:pPr>
    <w:rPr/>
  </w:style>
  <w:style w:type="paragraph" w:styleId="Style18">
    <w:name w:val="Заголовок таблицы"/>
    <w:basedOn w:val="Style17"/>
    <w:qFormat/>
    <w:pPr>
      <w:jc w:val="center"/>
    </w:pPr>
    <w:rPr>
      <w:b/>
      <w:bCs/>
    </w:rPr>
  </w:style>
  <w:style w:type="paragraph" w:styleId="10">
    <w:name w:val="Заголовок 10"/>
    <w:basedOn w:val="Style9"/>
    <w:qFormat/>
    <w:pPr/>
    <w:rPr>
      <w:b/>
      <w:bCs/>
      <w:sz w:val="21"/>
      <w:szCs w:val="21"/>
    </w:rPr>
  </w:style>
  <w:style w:type="paragraph" w:styleId="Style19">
    <w:name w:val="Вміст таблиці"/>
    <w:basedOn w:val="Normal"/>
    <w:qFormat/>
    <w:pPr>
      <w:suppressLineNumbers/>
    </w:pPr>
    <w:rPr/>
  </w:style>
  <w:style w:type="paragraph" w:styleId="Style20">
    <w:name w:val="Заголовок таблиці"/>
    <w:basedOn w:val="Style19"/>
    <w:qFormat/>
    <w:pPr>
      <w:jc w:val="center"/>
    </w:pPr>
    <w:rPr>
      <w:b/>
      <w:bCs/>
    </w:rPr>
  </w:style>
  <w:style w:type="paragraph" w:styleId="Style21">
    <w:name w:val="Цитати"/>
    <w:basedOn w:val="Normal"/>
    <w:qFormat/>
    <w:pPr>
      <w:spacing w:before="0" w:after="283"/>
      <w:ind w:left="567" w:right="567" w:hanging="0"/>
    </w:pPr>
    <w:rPr/>
  </w:style>
  <w:style w:type="paragraph" w:styleId="Style22">
    <w:name w:val="Subtitle"/>
    <w:basedOn w:val="Style9"/>
    <w:link w:val="SubtitleChar"/>
    <w:qFormat/>
    <w:pPr>
      <w:spacing w:before="60" w:after="120"/>
      <w:jc w:val="center"/>
    </w:pPr>
    <w:rPr>
      <w:sz w:val="36"/>
      <w:szCs w:val="36"/>
    </w:rPr>
  </w:style>
  <w:style w:type="paragraph" w:styleId="Style23">
    <w:name w:val="Заглавие"/>
    <w:basedOn w:val="Normal"/>
    <w:qFormat/>
    <w:pPr>
      <w:jc w:val="center"/>
    </w:pPr>
    <w:rPr>
      <w:sz w:val="28"/>
    </w:rPr>
  </w:style>
  <w:style w:type="paragraph" w:styleId="Style24">
    <w:name w:val="Текст у вказаному форматі"/>
    <w:basedOn w:val="Normal"/>
    <w:qFormat/>
    <w:pPr/>
    <w:rPr>
      <w:rFonts w:ascii="Liberation Mono" w:hAnsi="Liberation Mono" w:eastAsia="NSimSun" w:cs="Liberation Mono"/>
    </w:rPr>
  </w:style>
  <w:style w:type="paragraph" w:styleId="Style25">
    <w:name w:val="Нормальний текст"/>
    <w:basedOn w:val="Normal"/>
    <w:qFormat/>
    <w:pPr>
      <w:spacing w:before="120" w:after="0"/>
      <w:ind w:left="0" w:right="0" w:firstLine="567"/>
    </w:pPr>
    <w:rPr/>
  </w:style>
  <w:style w:type="paragraph" w:styleId="Rvps14">
    <w:name w:val="rvps14"/>
    <w:basedOn w:val="Normal"/>
    <w:qFormat/>
    <w:pPr>
      <w:spacing w:before="100" w:after="100"/>
    </w:pPr>
    <w:rPr>
      <w:sz w:val="24"/>
      <w:szCs w:val="24"/>
    </w:rPr>
  </w:style>
  <w:style w:type="paragraph" w:styleId="Style26">
    <w:name w:val="Обычный (веб)"/>
    <w:basedOn w:val="Normal"/>
    <w:qFormat/>
    <w:pPr>
      <w:suppressAutoHyphens w:val="true"/>
    </w:pPr>
    <w:rPr/>
  </w:style>
  <w:style w:type="paragraph" w:styleId="Style27">
    <w:name w:val="Абзац списка"/>
    <w:basedOn w:val="Normal"/>
    <w:qFormat/>
    <w:pPr>
      <w:tabs>
        <w:tab w:val="clear" w:pos="720"/>
      </w:tabs>
      <w:suppressAutoHyphens w:val="true"/>
      <w:spacing w:before="280" w:after="280"/>
      <w:ind w:left="120" w:right="0" w:firstLine="559"/>
      <w:jc w:val="both"/>
    </w:pPr>
    <w:rPr>
      <w:rFonts w:ascii="Times New Roman" w:hAnsi="Times New Roman" w:eastAsia="NSimSun" w:cs="Times New Roman"/>
      <w:sz w:val="24"/>
      <w:szCs w:val="24"/>
      <w:lang w:val="ru-RU" w:bidi="ar-SA"/>
    </w:rPr>
  </w:style>
  <w:style w:type="paragraph" w:styleId="23">
    <w:name w:val="Основний текст (2)"/>
    <w:qFormat/>
    <w:pPr>
      <w:widowControl/>
      <w:shd w:val="clear" w:fill="FFFFFF"/>
      <w:suppressAutoHyphens w:val="true"/>
      <w:overflowPunct w:val="true"/>
      <w:bidi w:val="0"/>
      <w:spacing w:lineRule="auto" w:line="240" w:before="0" w:after="0"/>
      <w:jc w:val="left"/>
    </w:pPr>
    <w:rPr>
      <w:rFonts w:ascii="Sylfaen" w:hAnsi="Sylfaen" w:eastAsia="Sylfaen" w:cs="Sylfaen"/>
      <w:b w:val="false"/>
      <w:bCs w:val="false"/>
      <w:i w:val="false"/>
      <w:iCs w:val="false"/>
      <w:strike w:val="false"/>
      <w:dstrike w:val="false"/>
      <w:color w:val="auto"/>
      <w:kern w:val="0"/>
      <w:sz w:val="22"/>
      <w:szCs w:val="22"/>
      <w:u w:val="none"/>
      <w:lang w:val="uk-UA" w:eastAsia="uk-UA" w:bidi="ar-SA"/>
    </w:rPr>
  </w:style>
  <w:style w:type="paragraph" w:styleId="Style28">
    <w:name w:val="Указатель"/>
    <w:basedOn w:val="Normal"/>
    <w:qFormat/>
    <w:pPr/>
    <w:rPr>
      <w:rFonts w:cs="Mangal"/>
    </w:rPr>
  </w:style>
  <w:style w:type="paragraph" w:styleId="Style29">
    <w:name w:val="Верхній і нижній колонтитули"/>
    <w:basedOn w:val="Normal"/>
    <w:qFormat/>
    <w:pPr>
      <w:suppressLineNumbers/>
      <w:tabs>
        <w:tab w:val="clear" w:pos="720"/>
        <w:tab w:val="center" w:pos="4844" w:leader="none"/>
        <w:tab w:val="right" w:pos="9689" w:leader="none"/>
      </w:tabs>
    </w:pPr>
    <w:rPr/>
  </w:style>
  <w:style w:type="paragraph" w:styleId="Style30">
    <w:name w:val="Header"/>
    <w:basedOn w:val="Style29"/>
    <w:pPr>
      <w:suppressLineNumbers/>
    </w:pPr>
    <w:rPr/>
  </w:style>
  <w:style w:type="paragraph" w:styleId="Style31">
    <w:name w:val="Содержимое фрейма"/>
    <w:qFormat/>
    <w:pPr>
      <w:widowControl/>
      <w:suppressAutoHyphens w:val="true"/>
      <w:bidi w:val="0"/>
      <w:spacing w:before="120" w:after="120"/>
      <w:jc w:val="left"/>
    </w:pPr>
    <w:rPr>
      <w:rFonts w:ascii="Liberation Serif" w:hAnsi="Liberation Serif" w:eastAsia="NSimSun" w:cs="Mangal"/>
      <w:i/>
      <w:iCs/>
      <w:color w:val="auto"/>
      <w:kern w:val="2"/>
      <w:sz w:val="24"/>
      <w:szCs w:val="24"/>
      <w:lang w:val="uk-UA" w:eastAsia="zh-CN" w:bidi="hi-IN"/>
    </w:rPr>
  </w:style>
  <w:style w:type="paragraph" w:styleId="11">
    <w:name w:val="Знак Знак1 Знак Знак Знак Знак Знак Знак Знак"/>
    <w:basedOn w:val="Normal"/>
    <w:next w:val="Style32"/>
    <w:qFormat/>
    <w:pPr/>
    <w:rPr>
      <w:rFonts w:ascii="Verdana" w:hAnsi="Verdana" w:cs="Verdana"/>
      <w:sz w:val="20"/>
      <w:szCs w:val="20"/>
      <w:lang w:val="en-US"/>
    </w:rPr>
  </w:style>
  <w:style w:type="paragraph" w:styleId="31">
    <w:name w:val="Название3"/>
    <w:basedOn w:val="Normal"/>
    <w:qFormat/>
    <w:pPr>
      <w:spacing w:before="120" w:after="120"/>
    </w:pPr>
    <w:rPr>
      <w:rFonts w:cs="Mangal"/>
      <w:i/>
      <w:iCs/>
    </w:rPr>
  </w:style>
  <w:style w:type="paragraph" w:styleId="NormalWeb">
    <w:name w:val="Normal (Web)"/>
    <w:basedOn w:val="Normal"/>
    <w:qFormat/>
    <w:pPr>
      <w:widowControl w:val="false"/>
      <w:spacing w:lineRule="auto" w:line="240" w:before="280" w:after="119"/>
    </w:pPr>
    <w:rPr>
      <w:rFonts w:ascii="Times New Roman" w:hAnsi="Times New Roman" w:eastAsia="Andale Sans UI" w:cs="Times New Roman"/>
      <w:color w:val="000000"/>
      <w:lang w:val="ru-RU"/>
    </w:rPr>
  </w:style>
  <w:style w:type="paragraph" w:styleId="Style32">
    <w:name w:val="Вміст рамки"/>
    <w:basedOn w:val="Normal"/>
    <w:qFormat/>
    <w:pPr/>
    <w:rPr/>
  </w:style>
  <w:style w:type="paragraph" w:styleId="311">
    <w:name w:val="Основной текст с отступом 31"/>
    <w:basedOn w:val="Normal"/>
    <w:qFormat/>
    <w:pPr>
      <w:ind w:left="284" w:hanging="284"/>
      <w:jc w:val="both"/>
    </w:pPr>
    <w:rPr>
      <w:sz w:val="28"/>
    </w:rPr>
  </w:style>
  <w:style w:type="paragraph" w:styleId="32">
    <w:name w:val="Основной текст с отступом 3"/>
    <w:basedOn w:val="Normal"/>
    <w:qFormat/>
    <w:pPr>
      <w:spacing w:lineRule="auto" w:line="252"/>
      <w:ind w:firstLine="709"/>
      <w:jc w:val="both"/>
    </w:pPr>
    <w:rPr>
      <w:sz w:val="28"/>
    </w:rPr>
  </w:style>
  <w:style w:type="paragraph" w:styleId="BodyTextIndent2">
    <w:name w:val="Body Text Indent 2"/>
    <w:basedOn w:val="Normal"/>
    <w:qFormat/>
    <w:pPr>
      <w:tabs>
        <w:tab w:val="clear" w:pos="720"/>
        <w:tab w:val="left" w:pos="0" w:leader="none"/>
        <w:tab w:val="right" w:pos="9868" w:leader="none"/>
      </w:tabs>
      <w:ind w:right="14" w:firstLine="709"/>
      <w:jc w:val="both"/>
    </w:pPr>
    <w:rPr>
      <w:sz w:val="28"/>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personal@vl.pfu.gov.ua" TargetMode="External"/><Relationship Id="rId3" Type="http://schemas.openxmlformats.org/officeDocument/2006/relationships/header" Target="header1.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Normal_Wordconv</Template>
  <TotalTime>1251</TotalTime>
  <Application>LibreOffice/7.4.3.2$Windows_X86_64 LibreOffice_project/1048a8393ae2eeec98dff31b5c133c5f1d08b890</Application>
  <AppVersion>15.0000</AppVersion>
  <Pages>5</Pages>
  <Words>1127</Words>
  <Characters>7605</Characters>
  <CharactersWithSpaces>8790</CharactersWithSpaces>
  <Paragraphs>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kadry</dc:creator>
  <dc:description/>
  <dc:language>uk-UA</dc:language>
  <cp:lastModifiedBy/>
  <dcterms:modified xsi:type="dcterms:W3CDTF">2025-02-14T11:00:58Z</dcterms:modified>
  <cp:revision>223</cp:revision>
  <dc:subject/>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