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widowControl/>
        <w:suppressAutoHyphens w:val="false"/>
        <w:bidi w:val="0"/>
        <w:snapToGrid w:val="false"/>
        <w:spacing w:before="0" w:after="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start="5556" w:end="0" w:hanging="0"/>
        <w:jc w:val="star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___________№___________</w:t>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widowControl/>
        <w:suppressAutoHyphens w:val="true"/>
        <w:bidi w:val="0"/>
        <w:snapToGrid w:val="false"/>
        <w:spacing w:before="0" w:after="0"/>
        <w:ind w:start="-170" w:end="0" w:hanging="0"/>
        <w:jc w:val="center"/>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категорії “В”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zh-CN" w:bidi="ar-SA"/>
        </w:rPr>
        <w:t xml:space="preserve"> головного спеціаліста</w:t>
      </w:r>
    </w:p>
    <w:p>
      <w:pPr>
        <w:pStyle w:val="Normal"/>
        <w:widowControl/>
        <w:suppressAutoHyphens w:val="true"/>
        <w:bidi w:val="0"/>
        <w:snapToGrid w:val="false"/>
        <w:spacing w:before="0" w:after="0"/>
        <w:ind w:start="-170" w:end="0" w:hanging="0"/>
        <w:jc w:val="center"/>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 xml:space="preserve">Сектору з питань координації внутрішнього контролю </w:t>
      </w:r>
    </w:p>
    <w:p>
      <w:pPr>
        <w:pStyle w:val="Normal"/>
        <w:widowControl/>
        <w:suppressAutoHyphens w:val="true"/>
        <w:bidi w:val="0"/>
        <w:snapToGrid w:val="false"/>
        <w:spacing w:before="0" w:after="0"/>
        <w:ind w:start="-170" w:end="0" w:hanging="0"/>
        <w:jc w:val="center"/>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pPr>
      <w:r>
        <w:rPr>
          <w:b w:val="false"/>
          <w:bCs w:val="false"/>
          <w:color w:val="000000"/>
          <w:sz w:val="26"/>
          <w:szCs w:val="26"/>
        </w:rPr>
        <w:t>(класифікаційний код посади 5</w:t>
      </w:r>
      <w:r>
        <w:rPr>
          <w:rFonts w:eastAsia="NSimSun" w:cs="Times New Roman"/>
          <w:b w:val="false"/>
          <w:bCs w:val="false"/>
          <w:i w:val="false"/>
          <w:caps w:val="false"/>
          <w:smallCaps w:val="false"/>
          <w:color w:val="000000"/>
          <w:spacing w:val="0"/>
          <w:kern w:val="2"/>
          <w:sz w:val="28"/>
          <w:szCs w:val="28"/>
          <w:u w:val="none"/>
          <w:shd w:fill="auto" w:val="clear"/>
          <w:lang w:val="uk-UA" w:eastAsia="zh-CN" w:bidi="hi-IN"/>
        </w:rPr>
        <w:t>-VІІ</w:t>
      </w:r>
      <w:r>
        <w:rPr>
          <w:rFonts w:eastAsia="NSimSun" w:cs="Times New Roman"/>
          <w:b w:val="false"/>
          <w:bCs w:val="false"/>
          <w:i w:val="false"/>
          <w:caps w:val="false"/>
          <w:smallCaps w:val="false"/>
          <w:color w:val="000000"/>
          <w:spacing w:val="0"/>
          <w:kern w:val="2"/>
          <w:sz w:val="28"/>
          <w:szCs w:val="28"/>
          <w:u w:val="none"/>
          <w:shd w:fill="auto" w:val="clear"/>
          <w:lang w:val="en-US" w:eastAsia="zh-CN" w:bidi="hi-IN"/>
        </w:rPr>
        <w:t>-</w:t>
      </w:r>
      <w:r>
        <w:rPr>
          <w:rFonts w:eastAsia="NSimSun" w:cs="Times New Roman"/>
          <w:b w:val="false"/>
          <w:bCs w:val="false"/>
          <w:i w:val="false"/>
          <w:caps w:val="false"/>
          <w:smallCaps w:val="false"/>
          <w:color w:val="000000"/>
          <w:spacing w:val="0"/>
          <w:kern w:val="2"/>
          <w:sz w:val="28"/>
          <w:szCs w:val="28"/>
          <w:u w:val="none"/>
          <w:shd w:fill="auto" w:val="clear"/>
          <w:lang w:val="uk-UA"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w:t>
      </w:r>
      <w:r>
        <w:rPr>
          <w:rFonts w:eastAsia="Times New Roman" w:cs="Times New Roman"/>
          <w:b w:val="false"/>
          <w:bCs w:val="false"/>
          <w:i w:val="false"/>
          <w:caps w:val="false"/>
          <w:smallCaps w:val="false"/>
          <w:color w:val="000000"/>
          <w:spacing w:val="0"/>
          <w:sz w:val="26"/>
          <w:szCs w:val="26"/>
          <w:lang w:val="uk-UA" w:eastAsia="uk-UA"/>
        </w:rPr>
        <w:t>м. Луцьк, Київський майдан, буд. 6</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50" w:type="dxa"/>
        <w:jc w:val="start"/>
        <w:tblInd w:w="0" w:type="dxa"/>
        <w:tblLayout w:type="fixed"/>
        <w:tblCellMar>
          <w:top w:w="55" w:type="dxa"/>
          <w:start w:w="55" w:type="dxa"/>
          <w:bottom w:w="55" w:type="dxa"/>
          <w:end w:w="55" w:type="dxa"/>
        </w:tblCellMar>
      </w:tblPr>
      <w:tblGrid>
        <w:gridCol w:w="545"/>
        <w:gridCol w:w="2731"/>
        <w:gridCol w:w="6474"/>
      </w:tblGrid>
      <w:tr>
        <w:trPr/>
        <w:tc>
          <w:tcPr>
            <w:tcW w:w="9750" w:type="dxa"/>
            <w:gridSpan w:val="3"/>
            <w:tcBorders>
              <w:top w:val="single" w:sz="2" w:space="0" w:color="000000"/>
              <w:start w:val="single" w:sz="2" w:space="0" w:color="000000"/>
              <w:bottom w:val="single" w:sz="2" w:space="0" w:color="000000"/>
              <w:end w:val="single" w:sz="2" w:space="0" w:color="000000"/>
            </w:tcBorders>
          </w:tcPr>
          <w:p>
            <w:pPr>
              <w:pStyle w:val="Style20"/>
              <w:widowControl w:val="false"/>
              <w:jc w:val="center"/>
              <w:rPr>
                <w:b/>
                <w:b/>
                <w:bCs/>
                <w:sz w:val="26"/>
                <w:szCs w:val="26"/>
              </w:rPr>
            </w:pPr>
            <w:r>
              <w:rPr>
                <w:b/>
                <w:bCs/>
                <w:sz w:val="26"/>
                <w:szCs w:val="26"/>
              </w:rPr>
              <w:t>Загальні умови</w:t>
            </w:r>
          </w:p>
        </w:tc>
      </w:tr>
      <w:tr>
        <w:trPr/>
        <w:tc>
          <w:tcPr>
            <w:tcW w:w="3276" w:type="dxa"/>
            <w:gridSpan w:val="2"/>
            <w:tcBorders>
              <w:start w:val="single" w:sz="2" w:space="0" w:color="000000"/>
              <w:bottom w:val="single" w:sz="2" w:space="0" w:color="000000"/>
            </w:tcBorders>
          </w:tcPr>
          <w:p>
            <w:pPr>
              <w:pStyle w:val="Style20"/>
              <w:widowControl w:val="false"/>
              <w:rPr>
                <w:sz w:val="26"/>
                <w:szCs w:val="26"/>
              </w:rPr>
            </w:pPr>
            <w:r>
              <w:rPr>
                <w:sz w:val="26"/>
                <w:szCs w:val="26"/>
              </w:rPr>
              <w:t>Посадові обов’язки</w:t>
            </w:r>
          </w:p>
        </w:tc>
        <w:tc>
          <w:tcPr>
            <w:tcW w:w="6474" w:type="dxa"/>
            <w:tcBorders>
              <w:start w:val="single" w:sz="2" w:space="0" w:color="000000"/>
              <w:bottom w:val="single" w:sz="2" w:space="0" w:color="000000"/>
              <w:end w:val="single" w:sz="2" w:space="0" w:color="000000"/>
            </w:tcBorders>
          </w:tcPr>
          <w:p>
            <w:pPr>
              <w:pStyle w:val="Normal"/>
              <w:widowControl w:val="false"/>
              <w:ind w:firstLine="567"/>
              <w:jc w:val="both"/>
              <w:rPr>
                <w:sz w:val="26"/>
                <w:szCs w:val="26"/>
              </w:rPr>
            </w:pPr>
            <w:r>
              <w:rPr>
                <w:sz w:val="26"/>
                <w:szCs w:val="26"/>
              </w:rPr>
              <w:t>1) Забезпечення діяльності структурних підрозділів Головного управління з питань організації та здійснення внутрішнього контролю у розрізі елементів, визначених Основними засадами здійснення внутрішнього контролю розпорядниками бюджетних коштів, затвердженими постановою Кабінету Міністрів України від 12 грудня 2018 року № 1062;</w:t>
            </w:r>
          </w:p>
          <w:p>
            <w:pPr>
              <w:pStyle w:val="Normal"/>
              <w:widowControl w:val="false"/>
              <w:ind w:firstLine="567"/>
              <w:jc w:val="both"/>
              <w:rPr>
                <w:sz w:val="26"/>
                <w:szCs w:val="26"/>
              </w:rPr>
            </w:pPr>
            <w:r>
              <w:rPr>
                <w:sz w:val="26"/>
                <w:szCs w:val="26"/>
              </w:rPr>
              <w:t>2) </w:t>
            </w:r>
            <w:r>
              <w:rPr>
                <w:b w:val="false"/>
                <w:i w:val="false"/>
                <w:strike w:val="false"/>
                <w:dstrike w:val="false"/>
                <w:outline w:val="false"/>
                <w:shadow w:val="false"/>
                <w:color w:val="000000"/>
                <w:sz w:val="26"/>
                <w:szCs w:val="26"/>
                <w:u w:val="none"/>
                <w:em w:val="none"/>
              </w:rPr>
              <w:t xml:space="preserve">Надання методологічної допомоги суб’єктам внутрішнього контролю, проведення роз’яснювальної роботи з питань організації внутрішнього контролю в </w:t>
            </w:r>
            <w:r>
              <w:rPr>
                <w:b w:val="false"/>
                <w:i w:val="false"/>
                <w:strike w:val="false"/>
                <w:dstrike w:val="false"/>
                <w:outline w:val="false"/>
                <w:shadow w:val="false"/>
                <w:color w:val="000000"/>
                <w:sz w:val="26"/>
                <w:szCs w:val="26"/>
                <w:u w:val="none"/>
                <w:em w:val="none"/>
                <w:lang w:val="uk-UA"/>
              </w:rPr>
              <w:t>Г</w:t>
            </w:r>
            <w:r>
              <w:rPr>
                <w:b w:val="false"/>
                <w:i w:val="false"/>
                <w:strike w:val="false"/>
                <w:dstrike w:val="false"/>
                <w:outline w:val="false"/>
                <w:shadow w:val="false"/>
                <w:color w:val="000000"/>
                <w:sz w:val="26"/>
                <w:szCs w:val="26"/>
                <w:u w:val="none"/>
                <w:em w:val="none"/>
              </w:rPr>
              <w:t>оловному управлінні;</w:t>
            </w:r>
          </w:p>
          <w:p>
            <w:pPr>
              <w:pStyle w:val="Normal"/>
              <w:widowControl w:val="false"/>
              <w:ind w:firstLine="567"/>
              <w:jc w:val="both"/>
              <w:rPr>
                <w:sz w:val="26"/>
                <w:szCs w:val="26"/>
              </w:rPr>
            </w:pPr>
            <w:r>
              <w:rPr>
                <w:sz w:val="26"/>
                <w:szCs w:val="26"/>
              </w:rPr>
              <w:t xml:space="preserve">3) </w:t>
            </w:r>
            <w:r>
              <w:rPr>
                <w:b w:val="false"/>
                <w:i w:val="false"/>
                <w:strike w:val="false"/>
                <w:dstrike w:val="false"/>
                <w:outline w:val="false"/>
                <w:shadow w:val="false"/>
                <w:color w:val="000000"/>
                <w:sz w:val="26"/>
                <w:szCs w:val="26"/>
                <w:u w:val="none"/>
                <w:em w:val="none"/>
              </w:rPr>
              <w:t xml:space="preserve">Здійснення постійного моніторингу (нагляду) та контролю за системою внутрішнього контролю в головному управлінні, </w:t>
            </w:r>
            <w:r>
              <w:rPr>
                <w:sz w:val="26"/>
                <w:szCs w:val="26"/>
              </w:rPr>
              <w:t>проведення періодичного аналізу запроваджених заходів контролю, спрямованих на мінімізацію ризиків та попередження їх виникнення, здійснення інформаційного та комунікаційного обміну для забезпечення повної, своєчасної та достовірної інформації, необхідної при виконанні покладених на Головне управління завдань та функцій;</w:t>
            </w:r>
          </w:p>
          <w:p>
            <w:pPr>
              <w:pStyle w:val="Normal"/>
              <w:widowControl w:val="false"/>
              <w:ind w:firstLine="567"/>
              <w:jc w:val="both"/>
              <w:rPr>
                <w:sz w:val="26"/>
                <w:szCs w:val="26"/>
              </w:rPr>
            </w:pPr>
            <w:r>
              <w:rPr>
                <w:sz w:val="26"/>
                <w:szCs w:val="26"/>
              </w:rPr>
              <w:t>4) Здійснення моніторингу для виявлення відхилень у функціонуванні системи внутрішнього контролю, інформування начальника Головного управління щодо недоліків у системі внутрішнього контролю, виявлених за результатами здійснення моніторингу;</w:t>
            </w:r>
          </w:p>
          <w:p>
            <w:pPr>
              <w:pStyle w:val="Normal"/>
              <w:widowControl w:val="false"/>
              <w:ind w:firstLine="567"/>
              <w:jc w:val="both"/>
              <w:rPr>
                <w:sz w:val="26"/>
                <w:szCs w:val="26"/>
              </w:rPr>
            </w:pPr>
            <w:r>
              <w:rPr>
                <w:sz w:val="26"/>
                <w:szCs w:val="26"/>
              </w:rPr>
              <w:t>5) </w:t>
            </w:r>
            <w:r>
              <w:rPr>
                <w:rFonts w:eastAsia="Times New Roman" w:cs="Times New Roman"/>
                <w:color w:val="00000A"/>
                <w:kern w:val="0"/>
                <w:sz w:val="26"/>
                <w:szCs w:val="26"/>
                <w:lang w:val="uk-UA" w:eastAsia="zh-CN" w:bidi="ar-SA"/>
              </w:rPr>
              <w:t>Здійснення документування виявлених відхилень чи недоліків у функціонуванні системи внутрішнього контролю та/або окремих його елементів у Головному правлінні (в разі їх виявлення);</w:t>
            </w:r>
          </w:p>
          <w:p>
            <w:pPr>
              <w:pStyle w:val="Normal"/>
              <w:widowControl w:val="false"/>
              <w:ind w:firstLine="567"/>
              <w:jc w:val="both"/>
              <w:rPr>
                <w:sz w:val="26"/>
                <w:szCs w:val="26"/>
              </w:rPr>
            </w:pPr>
            <w:r>
              <w:rPr>
                <w:sz w:val="26"/>
                <w:szCs w:val="26"/>
              </w:rPr>
              <w:t>6) </w:t>
            </w:r>
            <w:r>
              <w:rPr>
                <w:b w:val="false"/>
                <w:i w:val="false"/>
                <w:strike w:val="false"/>
                <w:dstrike w:val="false"/>
                <w:outline w:val="false"/>
                <w:shadow w:val="false"/>
                <w:color w:val="000000"/>
                <w:sz w:val="26"/>
                <w:szCs w:val="26"/>
                <w:u w:val="none"/>
                <w:em w:val="none"/>
              </w:rPr>
              <w:t>З</w:t>
            </w:r>
            <w:r>
              <w:rPr>
                <w:rFonts w:eastAsia="Times New Roman" w:cs="Times New Roman"/>
                <w:color w:val="00000A"/>
                <w:kern w:val="0"/>
                <w:sz w:val="26"/>
                <w:szCs w:val="26"/>
                <w:lang w:val="uk-UA" w:eastAsia="zh-CN" w:bidi="ar-SA"/>
              </w:rPr>
              <w:t>дійснення документування процедур контролю для забезпечення інформаційного та комунікаційного обміну в Головному управлінні;</w:t>
            </w:r>
          </w:p>
          <w:p>
            <w:pPr>
              <w:pStyle w:val="Normal"/>
              <w:widowControl w:val="false"/>
              <w:ind w:firstLine="567"/>
              <w:jc w:val="both"/>
              <w:rPr/>
            </w:pPr>
            <w:r>
              <w:rPr>
                <w:rFonts w:eastAsia="Times New Roman" w:cs="Times New Roman"/>
                <w:color w:val="00000A"/>
                <w:kern w:val="0"/>
                <w:sz w:val="26"/>
                <w:szCs w:val="26"/>
                <w:lang w:val="uk-UA" w:eastAsia="zh-CN" w:bidi="ar-SA"/>
              </w:rPr>
              <w:t>7) Підготовка звітів про стан організації та здійснення внутрішнього контролю в Головному управлінні</w:t>
            </w:r>
            <w:r>
              <w:rPr>
                <w:sz w:val="26"/>
                <w:szCs w:val="26"/>
              </w:rPr>
              <w:t>.</w:t>
            </w:r>
          </w:p>
        </w:tc>
      </w:tr>
      <w:tr>
        <w:trPr/>
        <w:tc>
          <w:tcPr>
            <w:tcW w:w="3276" w:type="dxa"/>
            <w:gridSpan w:val="2"/>
            <w:tcBorders>
              <w:start w:val="single" w:sz="2" w:space="0" w:color="000000"/>
              <w:bottom w:val="single" w:sz="2" w:space="0" w:color="000000"/>
            </w:tcBorders>
          </w:tcPr>
          <w:p>
            <w:pPr>
              <w:pStyle w:val="Style20"/>
              <w:widowControl w:val="false"/>
              <w:rPr>
                <w:sz w:val="26"/>
                <w:szCs w:val="26"/>
              </w:rPr>
            </w:pPr>
            <w:r>
              <w:rPr>
                <w:sz w:val="26"/>
                <w:szCs w:val="26"/>
              </w:rPr>
              <w:t>Умови оплати праці</w:t>
            </w:r>
          </w:p>
        </w:tc>
        <w:tc>
          <w:tcPr>
            <w:tcW w:w="6474" w:type="dxa"/>
            <w:tcBorders>
              <w:start w:val="single" w:sz="2" w:space="0" w:color="000000"/>
              <w:bottom w:val="single" w:sz="2" w:space="0" w:color="000000"/>
              <w:end w:val="single" w:sz="2" w:space="0" w:color="000000"/>
            </w:tcBorders>
          </w:tcPr>
          <w:p>
            <w:pPr>
              <w:pStyle w:val="Normal"/>
              <w:widowControl w:val="false"/>
              <w:tabs>
                <w:tab w:val="clear" w:pos="720"/>
                <w:tab w:val="left" w:pos="660" w:leader="none"/>
              </w:tabs>
              <w:suppressAutoHyphens w:val="true"/>
              <w:overflowPunct w:val="true"/>
              <w:bidi w:val="0"/>
              <w:spacing w:lineRule="auto" w:line="240" w:before="0" w:after="0"/>
              <w:ind w:start="57" w:end="113" w:firstLine="567"/>
              <w:jc w:val="both"/>
              <w:rPr>
                <w:sz w:val="26"/>
                <w:szCs w:val="26"/>
              </w:rPr>
            </w:pPr>
            <w:r>
              <w:rPr>
                <w:rFonts w:cs="Times New Roman"/>
                <w:sz w:val="26"/>
                <w:szCs w:val="26"/>
                <w:lang w:val="uk-UA"/>
              </w:rPr>
              <w:t>П</w:t>
            </w:r>
            <w:r>
              <w:rPr>
                <w:rFonts w:cs="Times New Roman"/>
                <w:sz w:val="26"/>
                <w:szCs w:val="26"/>
              </w:rPr>
              <w:t xml:space="preserve">осадовий оклад </w:t>
            </w:r>
            <w:r>
              <w:rPr>
                <w:rFonts w:eastAsia="Times New Roman" w:cs="Times New Roman"/>
                <w:sz w:val="26"/>
                <w:szCs w:val="26"/>
              </w:rPr>
              <w:t>‒</w:t>
            </w:r>
            <w:r>
              <w:rPr>
                <w:rFonts w:cs="Times New Roman"/>
                <w:sz w:val="26"/>
                <w:szCs w:val="26"/>
              </w:rPr>
              <w:t xml:space="preserve"> 20795,00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bidi w:val="0"/>
              <w:spacing w:lineRule="auto" w:line="240" w:before="0" w:after="0"/>
              <w:ind w:start="0" w:end="57" w:firstLine="567"/>
              <w:jc w:val="both"/>
              <w:rPr>
                <w:sz w:val="26"/>
                <w:szCs w:val="26"/>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bidi w:val="0"/>
              <w:spacing w:lineRule="auto" w:line="240" w:before="0" w:after="0"/>
              <w:ind w:start="0" w:end="57" w:firstLine="567"/>
              <w:jc w:val="both"/>
              <w:rPr>
                <w:sz w:val="26"/>
                <w:szCs w:val="26"/>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w:t>
            </w:r>
            <w:r>
              <w:rPr>
                <w:rFonts w:eastAsia="Times New Roman" w:cs="Times New Roman"/>
                <w:color w:val="00000A"/>
                <w:kern w:val="0"/>
                <w:sz w:val="26"/>
                <w:szCs w:val="26"/>
                <w:lang w:val="uk-UA" w:eastAsia="zh-CN" w:bidi="ar-SA"/>
              </w:rPr>
              <w:t>5</w:t>
            </w:r>
            <w:r>
              <w:rPr>
                <w:rFonts w:eastAsia="Times New Roman" w:cs="Times New Roman"/>
                <w:color w:val="00000A"/>
                <w:kern w:val="0"/>
                <w:sz w:val="26"/>
                <w:szCs w:val="26"/>
                <w:lang w:val="uk-UA" w:eastAsia="zh-CN" w:bidi="ar-SA"/>
              </w:rPr>
              <w:t xml:space="preserve"> рік”;</w:t>
            </w:r>
          </w:p>
          <w:p>
            <w:pPr>
              <w:pStyle w:val="Normal"/>
              <w:widowControl w:val="false"/>
              <w:suppressAutoHyphens w:val="true"/>
              <w:bidi w:val="0"/>
              <w:spacing w:lineRule="auto" w:line="240" w:before="0" w:after="0"/>
              <w:ind w:start="0" w:end="57" w:firstLine="567"/>
              <w:jc w:val="both"/>
              <w:rPr>
                <w:sz w:val="26"/>
                <w:szCs w:val="26"/>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276" w:type="dxa"/>
            <w:gridSpan w:val="2"/>
            <w:tcBorders>
              <w:start w:val="single" w:sz="2" w:space="0" w:color="000000"/>
              <w:bottom w:val="single" w:sz="2" w:space="0" w:color="000000"/>
            </w:tcBorders>
          </w:tcPr>
          <w:p>
            <w:pPr>
              <w:pStyle w:val="Style20"/>
              <w:widowControl w:val="false"/>
              <w:rPr>
                <w:sz w:val="26"/>
                <w:szCs w:val="26"/>
              </w:rPr>
            </w:pPr>
            <w:r>
              <w:rPr>
                <w:sz w:val="26"/>
                <w:szCs w:val="26"/>
              </w:rPr>
              <w:t>Інформація про строковість чи безстроковість призначення на посаду</w:t>
            </w:r>
          </w:p>
        </w:tc>
        <w:tc>
          <w:tcPr>
            <w:tcW w:w="6474" w:type="dxa"/>
            <w:tcBorders>
              <w:start w:val="single" w:sz="2" w:space="0" w:color="000000"/>
              <w:bottom w:val="single" w:sz="2" w:space="0" w:color="000000"/>
              <w:end w:val="single" w:sz="2" w:space="0" w:color="000000"/>
            </w:tcBorders>
          </w:tcPr>
          <w:p>
            <w:pPr>
              <w:pStyle w:val="Style20"/>
              <w:widowControl w:val="false"/>
              <w:suppressLineNumbers/>
              <w:suppressAutoHyphens w:val="true"/>
              <w:bidi w:val="0"/>
              <w:spacing w:before="0" w:after="0"/>
              <w:ind w:start="0" w:end="170" w:firstLine="510"/>
              <w:jc w:val="both"/>
              <w:rPr>
                <w:sz w:val="26"/>
                <w:szCs w:val="26"/>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276" w:type="dxa"/>
            <w:gridSpan w:val="2"/>
            <w:tcBorders>
              <w:start w:val="single" w:sz="2" w:space="0" w:color="000000"/>
              <w:bottom w:val="single" w:sz="2" w:space="0" w:color="000000"/>
            </w:tcBorders>
          </w:tcPr>
          <w:p>
            <w:pPr>
              <w:pStyle w:val="Style20"/>
              <w:widowControl w:val="false"/>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474" w:type="dxa"/>
            <w:tcBorders>
              <w:start w:val="single" w:sz="2" w:space="0" w:color="000000"/>
              <w:bottom w:val="single" w:sz="2" w:space="0" w:color="000000"/>
              <w:end w:val="single" w:sz="2" w:space="0" w:color="000000"/>
            </w:tcBorders>
          </w:tcPr>
          <w:p>
            <w:pPr>
              <w:pStyle w:val="Style26"/>
              <w:widowControl w:val="false"/>
              <w:suppressAutoHyphens w:val="true"/>
              <w:bidi w:val="0"/>
              <w:spacing w:lineRule="auto" w:line="240" w:before="0" w:after="0"/>
              <w:ind w:start="57" w:end="113" w:firstLine="567"/>
              <w:jc w:val="both"/>
              <w:rPr>
                <w:sz w:val="26"/>
                <w:szCs w:val="26"/>
              </w:rPr>
            </w:pPr>
            <w:r>
              <w:rPr>
                <w:rFonts w:cs="Times New Roman"/>
                <w:bCs/>
                <w:sz w:val="26"/>
                <w:szCs w:val="26"/>
              </w:rPr>
              <w:t xml:space="preserve">Особа, яка бажає взяти участь у доборі, подає </w:t>
            </w:r>
            <w:r>
              <w:rPr>
                <w:rFonts w:eastAsia="Times New Roman" w:cs="Times New Roman"/>
                <w:bCs/>
                <w:color w:val="00000A"/>
                <w:kern w:val="0"/>
                <w:sz w:val="26"/>
                <w:szCs w:val="26"/>
                <w:lang w:val="uk-UA" w:eastAsia="zh-CN" w:bidi="ar-SA"/>
              </w:rPr>
              <w:t>Управлінню по роботі з персоналом</w:t>
            </w:r>
            <w:r>
              <w:rPr>
                <w:rFonts w:cs="Times New Roman"/>
                <w:bCs/>
                <w:sz w:val="26"/>
                <w:szCs w:val="26"/>
              </w:rPr>
              <w:t>:</w:t>
            </w:r>
          </w:p>
          <w:p>
            <w:pPr>
              <w:pStyle w:val="Style11"/>
              <w:widowControl w:val="false"/>
              <w:suppressAutoHyphens w:val="true"/>
              <w:bidi w:val="0"/>
              <w:spacing w:lineRule="auto" w:line="240" w:before="0" w:after="0"/>
              <w:ind w:start="0" w:end="57" w:firstLine="567"/>
              <w:jc w:val="both"/>
              <w:rPr>
                <w:sz w:val="26"/>
                <w:szCs w:val="26"/>
              </w:rPr>
            </w:pPr>
            <w:r>
              <w:rPr>
                <w:rFonts w:cs="Times New Roman"/>
                <w:bCs/>
                <w:color w:val="000000"/>
                <w:sz w:val="26"/>
                <w:szCs w:val="26"/>
                <w:shd w:fill="FFFFFF" w:val="clear"/>
              </w:rPr>
              <w:t>заяв</w:t>
            </w:r>
            <w:r>
              <w:rPr>
                <w:rFonts w:eastAsia="Times New Roman" w:cs="Times New Roman"/>
                <w:bCs/>
                <w:color w:val="000000"/>
                <w:kern w:val="0"/>
                <w:sz w:val="26"/>
                <w:szCs w:val="26"/>
                <w:shd w:fill="FFFFFF" w:val="clear"/>
                <w:lang w:val="uk-UA" w:eastAsia="zh-CN" w:bidi="ar-SA"/>
              </w:rPr>
              <w:t>у;</w:t>
            </w:r>
          </w:p>
          <w:p>
            <w:pPr>
              <w:pStyle w:val="Style11"/>
              <w:widowControl w:val="false"/>
              <w:suppressAutoHyphens w:val="true"/>
              <w:bidi w:val="0"/>
              <w:spacing w:lineRule="auto" w:line="240" w:before="0" w:after="0"/>
              <w:ind w:start="0" w:end="113" w:firstLine="567"/>
              <w:jc w:val="both"/>
              <w:rPr>
                <w:sz w:val="26"/>
                <w:szCs w:val="26"/>
              </w:rPr>
            </w:pPr>
            <w:r>
              <w:rPr>
                <w:rFonts w:cs="Times New Roman"/>
                <w:bCs/>
                <w:color w:val="000000"/>
                <w:sz w:val="26"/>
                <w:szCs w:val="26"/>
                <w:shd w:fill="FFFFFF" w:val="clear"/>
              </w:rPr>
              <w:t>заповнен</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особов</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картк</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встановленого зразка;</w:t>
            </w:r>
          </w:p>
          <w:p>
            <w:pPr>
              <w:pStyle w:val="Style11"/>
              <w:widowControl w:val="false"/>
              <w:suppressAutoHyphens w:val="true"/>
              <w:bidi w:val="0"/>
              <w:spacing w:lineRule="auto" w:line="240" w:before="0" w:after="0"/>
              <w:ind w:start="0" w:end="0" w:firstLine="567"/>
              <w:jc w:val="both"/>
              <w:rPr>
                <w:sz w:val="26"/>
                <w:szCs w:val="26"/>
              </w:rPr>
            </w:pPr>
            <w:r>
              <w:rPr>
                <w:rFonts w:cs="Times New Roman"/>
                <w:bCs/>
                <w:color w:val="000000"/>
                <w:sz w:val="26"/>
                <w:szCs w:val="26"/>
                <w:shd w:fill="FFFFFF" w:val="clear"/>
              </w:rPr>
              <w:t>документ</w:t>
            </w:r>
            <w:r>
              <w:rPr>
                <w:rFonts w:eastAsia="Times New Roman" w:cs="Times New Roman"/>
                <w:bCs/>
                <w:color w:val="000000"/>
                <w:kern w:val="0"/>
                <w:sz w:val="26"/>
                <w:szCs w:val="26"/>
                <w:shd w:fill="FFFFFF" w:val="clear"/>
                <w:lang w:val="uk-UA" w:eastAsia="zh-CN" w:bidi="ar-SA"/>
              </w:rPr>
              <w:t>и</w:t>
            </w:r>
            <w:r>
              <w:rPr>
                <w:rFonts w:cs="Times New Roman"/>
                <w:bCs/>
                <w:color w:val="000000"/>
                <w:sz w:val="26"/>
                <w:szCs w:val="26"/>
                <w:shd w:fill="FFFFFF"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20"/>
              <w:widowControl w:val="false"/>
              <w:suppressLineNumbers/>
              <w:suppressAutoHyphens w:val="true"/>
              <w:bidi w:val="0"/>
              <w:spacing w:before="0" w:after="0"/>
              <w:ind w:start="0" w:end="170" w:firstLine="510"/>
              <w:jc w:val="both"/>
              <w:rPr>
                <w:sz w:val="26"/>
                <w:szCs w:val="26"/>
              </w:rPr>
            </w:pPr>
            <w:r>
              <w:rPr>
                <w:rFonts w:eastAsia="Times New Roman" w:cs="Times New Roman"/>
                <w:bCs/>
                <w:color w:val="00000A"/>
                <w:kern w:val="0"/>
                <w:sz w:val="26"/>
                <w:szCs w:val="26"/>
                <w:shd w:fill="FFFFFF"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Style26"/>
              <w:widowControl w:val="false"/>
              <w:suppressAutoHyphens w:val="true"/>
              <w:bidi w:val="0"/>
              <w:spacing w:lineRule="auto" w:line="240" w:before="0" w:after="0"/>
              <w:ind w:start="0" w:end="57" w:firstLine="567"/>
              <w:jc w:val="both"/>
              <w:rPr>
                <w:b w:val="false"/>
                <w:b w:val="false"/>
                <w:bCs w:val="false"/>
              </w:rPr>
            </w:pPr>
            <w:r>
              <w:rPr>
                <w:rFonts w:eastAsia="Times New Roman" w:cs="Times New Roman"/>
                <w:b w:val="false"/>
                <w:bCs w:val="false"/>
                <w:color w:val="111111"/>
                <w:kern w:val="0"/>
                <w:sz w:val="26"/>
                <w:szCs w:val="26"/>
                <w:lang w:val="uk-UA" w:eastAsia="zh-CN" w:bidi="ar-SA"/>
              </w:rPr>
              <w:t>Документи</w:t>
            </w:r>
            <w:r>
              <w:rPr>
                <w:rFonts w:cs="Times New Roman"/>
                <w:b w:val="false"/>
                <w:bCs w:val="false"/>
                <w:color w:val="111111"/>
                <w:sz w:val="26"/>
                <w:szCs w:val="26"/>
              </w:rPr>
              <w:t xml:space="preserve"> прийма</w:t>
            </w:r>
            <w:r>
              <w:rPr>
                <w:rFonts w:eastAsia="Times New Roman" w:cs="Times New Roman"/>
                <w:b w:val="false"/>
                <w:bCs w:val="false"/>
                <w:color w:val="111111"/>
                <w:kern w:val="0"/>
                <w:sz w:val="26"/>
                <w:szCs w:val="26"/>
                <w:lang w:val="uk-UA" w:eastAsia="zh-CN" w:bidi="ar-SA"/>
              </w:rPr>
              <w:t>ю</w:t>
            </w:r>
            <w:r>
              <w:rPr>
                <w:rFonts w:cs="Times New Roman"/>
                <w:b w:val="false"/>
                <w:bCs w:val="false"/>
                <w:color w:val="111111"/>
                <w:sz w:val="26"/>
                <w:szCs w:val="26"/>
              </w:rPr>
              <w:t xml:space="preserve">ться </w:t>
            </w:r>
            <w:r>
              <w:rPr>
                <w:rFonts w:cs="Times New Roman"/>
                <w:b w:val="false"/>
                <w:bCs w:val="false"/>
                <w:color w:val="000000"/>
                <w:spacing w:val="-6"/>
                <w:sz w:val="26"/>
                <w:szCs w:val="26"/>
              </w:rPr>
              <w:t>до 17:00 год 11 червня 202</w:t>
            </w:r>
            <w:r>
              <w:rPr>
                <w:rFonts w:eastAsia="Times New Roman" w:cs="Times New Roman"/>
                <w:b w:val="false"/>
                <w:bCs w:val="false"/>
                <w:color w:val="000000"/>
                <w:spacing w:val="-6"/>
                <w:kern w:val="0"/>
                <w:sz w:val="26"/>
                <w:szCs w:val="26"/>
                <w:lang w:val="uk-UA" w:eastAsia="zh-CN" w:bidi="ar-SA"/>
              </w:rPr>
              <w:t>5</w:t>
            </w:r>
            <w:r>
              <w:rPr>
                <w:rFonts w:cs="Times New Roman"/>
                <w:b w:val="false"/>
                <w:bCs w:val="false"/>
                <w:color w:val="000000"/>
                <w:spacing w:val="-6"/>
                <w:sz w:val="26"/>
                <w:szCs w:val="26"/>
              </w:rPr>
              <w:t xml:space="preserve"> року включно.</w:t>
            </w:r>
          </w:p>
        </w:tc>
      </w:tr>
      <w:tr>
        <w:trPr/>
        <w:tc>
          <w:tcPr>
            <w:tcW w:w="3276" w:type="dxa"/>
            <w:gridSpan w:val="2"/>
            <w:tcBorders>
              <w:start w:val="single" w:sz="2" w:space="0" w:color="000000"/>
              <w:bottom w:val="single" w:sz="2" w:space="0" w:color="000000"/>
            </w:tcBorders>
          </w:tcPr>
          <w:p>
            <w:pPr>
              <w:pStyle w:val="Style20"/>
              <w:widowControl w:val="false"/>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474" w:type="dxa"/>
            <w:tcBorders>
              <w:start w:val="single" w:sz="2" w:space="0" w:color="000000"/>
              <w:bottom w:val="single" w:sz="2" w:space="0" w:color="000000"/>
              <w:end w:val="single" w:sz="2" w:space="0" w:color="000000"/>
            </w:tcBorders>
          </w:tcPr>
          <w:p>
            <w:pPr>
              <w:pStyle w:val="Normal"/>
              <w:widowControl w:val="false"/>
              <w:suppressAutoHyphens w:val="true"/>
              <w:bidi w:val="0"/>
              <w:spacing w:lineRule="auto" w:line="240" w:before="0" w:after="0"/>
              <w:ind w:start="0" w:end="57" w:firstLine="567"/>
              <w:jc w:val="both"/>
              <w:rPr>
                <w:sz w:val="26"/>
                <w:szCs w:val="26"/>
              </w:rPr>
            </w:pPr>
            <w:r>
              <w:rPr>
                <w:rFonts w:cs="Times New Roman"/>
                <w:b w:val="false"/>
                <w:bCs w:val="false"/>
                <w:color w:val="111111"/>
                <w:sz w:val="26"/>
                <w:szCs w:val="26"/>
              </w:rPr>
              <w:t>Співбесіда відбудеться 12</w:t>
            </w:r>
            <w:r>
              <w:rPr>
                <w:rFonts w:cs="Times New Roman"/>
                <w:b w:val="false"/>
                <w:bCs w:val="false"/>
                <w:color w:val="111111"/>
                <w:sz w:val="26"/>
                <w:szCs w:val="26"/>
                <w:lang w:val="uk-UA"/>
              </w:rPr>
              <w:t xml:space="preserve"> червня</w:t>
            </w:r>
            <w:r>
              <w:rPr>
                <w:rFonts w:cs="Times New Roman"/>
                <w:b w:val="false"/>
                <w:bCs w:val="false"/>
                <w:color w:val="111111"/>
                <w:sz w:val="26"/>
                <w:szCs w:val="26"/>
              </w:rPr>
              <w:t xml:space="preserve"> </w:t>
            </w:r>
            <w:r>
              <w:rPr>
                <w:rFonts w:eastAsia="Times New Roman" w:cs="Times New Roman"/>
                <w:b w:val="false"/>
                <w:bCs w:val="false"/>
                <w:color w:val="111111"/>
                <w:kern w:val="0"/>
                <w:sz w:val="26"/>
                <w:szCs w:val="26"/>
                <w:lang w:val="uk-UA" w:eastAsia="zh-CN" w:bidi="ar-SA"/>
              </w:rPr>
              <w:t xml:space="preserve"> </w:t>
            </w:r>
            <w:r>
              <w:rPr>
                <w:rFonts w:cs="Times New Roman"/>
                <w:b w:val="false"/>
                <w:bCs w:val="false"/>
                <w:color w:val="111111"/>
                <w:sz w:val="26"/>
                <w:szCs w:val="26"/>
              </w:rPr>
              <w:t>202</w:t>
            </w:r>
            <w:r>
              <w:rPr>
                <w:rFonts w:eastAsia="Times New Roman" w:cs="Times New Roman"/>
                <w:b w:val="false"/>
                <w:bCs w:val="false"/>
                <w:color w:val="111111"/>
                <w:kern w:val="0"/>
                <w:sz w:val="26"/>
                <w:szCs w:val="26"/>
                <w:lang w:val="uk-UA" w:eastAsia="zh-CN" w:bidi="ar-SA"/>
              </w:rPr>
              <w:t>5</w:t>
            </w:r>
            <w:r>
              <w:rPr>
                <w:rFonts w:cs="Times New Roman"/>
                <w:b w:val="false"/>
                <w:bCs w:val="false"/>
                <w:color w:val="111111"/>
                <w:sz w:val="26"/>
                <w:szCs w:val="26"/>
              </w:rPr>
              <w:t xml:space="preserve"> року за адресою: </w:t>
            </w:r>
            <w:r>
              <w:rPr>
                <w:rFonts w:eastAsia="Times New Roman" w:cs="Times New Roman"/>
                <w:b w:val="false"/>
                <w:bCs w:val="false"/>
                <w:color w:val="auto"/>
                <w:sz w:val="26"/>
                <w:szCs w:val="26"/>
                <w:lang w:val="uk-UA" w:eastAsia="zh-CN" w:bidi="ar-SA"/>
              </w:rPr>
              <w:t xml:space="preserve">м. Луцьк, Київський майдан, буд. 6 </w:t>
            </w:r>
            <w:r>
              <w:rPr>
                <w:rFonts w:eastAsia="Times New Roman" w:cs="Times New Roman"/>
                <w:b w:val="false"/>
                <w:bCs w:val="false"/>
                <w:color w:val="000000"/>
                <w:sz w:val="26"/>
                <w:szCs w:val="26"/>
                <w:lang w:val="uk-UA" w:eastAsia="zh-CN" w:bidi="ar-SA"/>
              </w:rPr>
              <w:t xml:space="preserve">(проведення </w:t>
            </w:r>
            <w:r>
              <w:rPr>
                <w:rFonts w:eastAsia="Times New Roman" w:cs="Times New Roman"/>
                <w:b w:val="false"/>
                <w:bCs w:val="false"/>
                <w:color w:val="000000"/>
                <w:kern w:val="0"/>
                <w:sz w:val="26"/>
                <w:szCs w:val="26"/>
                <w:lang w:val="uk-UA" w:eastAsia="zh-CN" w:bidi="ar-SA"/>
              </w:rPr>
              <w:t>співбесіди</w:t>
            </w:r>
            <w:r>
              <w:rPr>
                <w:rFonts w:eastAsia="Times New Roman" w:cs="Times New Roman"/>
                <w:b w:val="false"/>
                <w:bCs w:val="false"/>
                <w:color w:val="000000"/>
                <w:sz w:val="26"/>
                <w:szCs w:val="26"/>
                <w:lang w:val="uk-UA" w:eastAsia="zh-CN" w:bidi="ar-SA"/>
              </w:rPr>
              <w:t xml:space="preserve"> за фізичної присутності кандидатів).</w:t>
            </w:r>
          </w:p>
        </w:tc>
      </w:tr>
      <w:tr>
        <w:trPr/>
        <w:tc>
          <w:tcPr>
            <w:tcW w:w="3276" w:type="dxa"/>
            <w:gridSpan w:val="2"/>
            <w:tcBorders>
              <w:start w:val="single" w:sz="2" w:space="0" w:color="000000"/>
              <w:bottom w:val="single" w:sz="2" w:space="0" w:color="000000"/>
            </w:tcBorders>
          </w:tcPr>
          <w:p>
            <w:pPr>
              <w:pStyle w:val="Style20"/>
              <w:widowControl w:val="false"/>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474" w:type="dxa"/>
            <w:tcBorders>
              <w:start w:val="single" w:sz="2" w:space="0" w:color="000000"/>
              <w:bottom w:val="single" w:sz="2" w:space="0" w:color="000000"/>
              <w:end w:val="single" w:sz="2" w:space="0" w:color="000000"/>
            </w:tcBorders>
          </w:tcPr>
          <w:p>
            <w:pPr>
              <w:pStyle w:val="Normal"/>
              <w:widowControl w:val="false"/>
              <w:tabs>
                <w:tab w:val="clear" w:pos="720"/>
                <w:tab w:val="left" w:pos="600" w:leader="none"/>
              </w:tabs>
              <w:suppressAutoHyphens w:val="true"/>
              <w:bidi w:val="0"/>
              <w:spacing w:lineRule="auto" w:line="240" w:before="0" w:after="0"/>
              <w:ind w:start="454" w:end="850" w:firstLine="170"/>
              <w:jc w:val="start"/>
              <w:rPr>
                <w:b w:val="false"/>
                <w:b w:val="false"/>
                <w:bCs w:val="false"/>
              </w:rPr>
            </w:pPr>
            <w:r>
              <w:rPr>
                <w:rFonts w:eastAsia="Times New Roman" w:cs="Times New Roman"/>
                <w:b w:val="false"/>
                <w:bCs w:val="false"/>
                <w:color w:val="00000A"/>
                <w:kern w:val="0"/>
                <w:sz w:val="26"/>
                <w:szCs w:val="26"/>
                <w:lang w:val="uk-UA" w:eastAsia="zh-CN" w:bidi="ar-SA"/>
              </w:rPr>
              <w:t>Левчук Володимир Михайлович,</w:t>
            </w:r>
          </w:p>
          <w:p>
            <w:pPr>
              <w:pStyle w:val="Normal"/>
              <w:widowControl w:val="false"/>
              <w:suppressAutoHyphens w:val="true"/>
              <w:bidi w:val="0"/>
              <w:spacing w:lineRule="auto" w:line="240" w:before="0" w:after="0"/>
              <w:ind w:start="57" w:end="170" w:firstLine="567"/>
              <w:jc w:val="start"/>
              <w:rPr>
                <w:b w:val="false"/>
                <w:b w:val="false"/>
                <w:bCs w:val="false"/>
              </w:rPr>
            </w:pPr>
            <w:r>
              <w:rPr>
                <w:rFonts w:eastAsia="Times New Roman" w:cs="Times New Roman"/>
                <w:b w:val="false"/>
                <w:bCs w:val="false"/>
                <w:color w:val="00000A"/>
                <w:kern w:val="0"/>
                <w:sz w:val="26"/>
                <w:szCs w:val="26"/>
                <w:lang w:val="uk-UA" w:eastAsia="zh-CN" w:bidi="ar-SA"/>
              </w:rPr>
              <w:t>Козицька Галина Стефанівна</w:t>
            </w:r>
          </w:p>
          <w:p>
            <w:pPr>
              <w:pStyle w:val="Normal"/>
              <w:widowControl w:val="false"/>
              <w:spacing w:lineRule="auto" w:line="240" w:before="0" w:after="0"/>
              <w:ind w:start="0" w:end="0" w:hanging="0"/>
              <w:jc w:val="start"/>
              <w:rPr>
                <w:b w:val="false"/>
                <w:b w:val="false"/>
                <w:bCs w:val="false"/>
              </w:rPr>
            </w:pPr>
            <w:r>
              <w:rPr>
                <w:rFonts w:eastAsia="Times New Roman" w:cs="Times New Roman"/>
                <w:b w:val="false"/>
                <w:bCs w:val="false"/>
                <w:color w:val="00000A"/>
                <w:kern w:val="0"/>
                <w:sz w:val="26"/>
                <w:szCs w:val="26"/>
                <w:lang w:val="uk-UA" w:eastAsia="zh-CN" w:bidi="ar-SA"/>
              </w:rPr>
              <w:t>28-10-35</w:t>
            </w:r>
          </w:p>
          <w:p>
            <w:pPr>
              <w:pStyle w:val="Normal"/>
              <w:widowControl w:val="false"/>
              <w:spacing w:lineRule="auto" w:line="240" w:before="0" w:after="0"/>
              <w:ind w:start="0" w:end="0" w:hanging="0"/>
              <w:jc w:val="start"/>
              <w:rPr>
                <w:b w:val="false"/>
                <w:b w:val="false"/>
                <w:bCs w:val="false"/>
              </w:rPr>
            </w:pPr>
            <w:r>
              <w:rPr>
                <w:rFonts w:eastAsia="Times New Roman" w:cs="Times New Roman"/>
                <w:b w:val="false"/>
                <w:bCs w:val="false"/>
                <w:color w:val="00000A"/>
                <w:kern w:val="0"/>
                <w:sz w:val="26"/>
                <w:szCs w:val="26"/>
                <w:lang w:val="uk-UA" w:eastAsia="zh-CN" w:bidi="ar-SA"/>
              </w:rPr>
              <w:t>28-10-62</w:t>
            </w:r>
          </w:p>
          <w:p>
            <w:pPr>
              <w:pStyle w:val="Normal"/>
              <w:widowControl w:val="false"/>
              <w:spacing w:lineRule="auto" w:line="240" w:before="0" w:after="0"/>
              <w:ind w:start="0" w:end="0" w:hanging="0"/>
              <w:jc w:val="start"/>
              <w:rPr/>
            </w:pPr>
            <w:r>
              <w:rPr>
                <w:rFonts w:eastAsia="Times New Roman" w:cs="Times New Roman"/>
                <w:b w:val="false"/>
                <w:bCs w:val="false"/>
                <w:color w:val="000000"/>
                <w:kern w:val="0"/>
                <w:sz w:val="26"/>
                <w:szCs w:val="26"/>
                <w:shd w:fill="FFFFFF" w:val="clear"/>
                <w:lang w:val="en-US" w:eastAsia="zh-CN" w:bidi="ar-SA"/>
              </w:rPr>
              <w:t xml:space="preserve">E-mail: </w:t>
            </w:r>
            <w:hyperlink r:id="rId2">
              <w:r>
                <w:rPr>
                  <w:rStyle w:val="Style7"/>
                  <w:rFonts w:eastAsia="Times New Roman" w:cs="Times New Roman"/>
                  <w:b w:val="false"/>
                  <w:bCs w:val="false"/>
                  <w:kern w:val="0"/>
                  <w:sz w:val="26"/>
                  <w:szCs w:val="26"/>
                  <w:shd w:fill="FFFFFF" w:val="clear"/>
                  <w:lang w:val="en-US"/>
                </w:rPr>
                <w:t>personal@vl.pfu.gov.ua</w:t>
              </w:r>
            </w:hyperlink>
          </w:p>
        </w:tc>
      </w:tr>
      <w:tr>
        <w:trPr/>
        <w:tc>
          <w:tcPr>
            <w:tcW w:w="9750" w:type="dxa"/>
            <w:gridSpan w:val="3"/>
            <w:tcBorders>
              <w:start w:val="single" w:sz="2" w:space="0" w:color="000000"/>
              <w:bottom w:val="single" w:sz="2" w:space="0" w:color="000000"/>
              <w:end w:val="single" w:sz="2" w:space="0" w:color="000000"/>
            </w:tcBorders>
          </w:tcPr>
          <w:p>
            <w:pPr>
              <w:pStyle w:val="Style20"/>
              <w:widowControl w:val="false"/>
              <w:jc w:val="center"/>
              <w:rPr>
                <w:sz w:val="26"/>
                <w:szCs w:val="26"/>
              </w:rPr>
            </w:pPr>
            <w:r>
              <w:rPr>
                <w:b/>
                <w:bCs/>
                <w:sz w:val="26"/>
                <w:szCs w:val="26"/>
              </w:rPr>
              <w:t>Кваліфікаційні вимоги</w:t>
            </w:r>
          </w:p>
          <w:p>
            <w:pPr>
              <w:pStyle w:val="Style20"/>
              <w:widowControl w:val="false"/>
              <w:jc w:val="center"/>
              <w:rPr>
                <w:rFonts w:ascii="Times New Roman" w:hAnsi="Times New Roman"/>
                <w:b w:val="false"/>
                <w:b w:val="false"/>
                <w:bCs w:val="false"/>
                <w:sz w:val="26"/>
                <w:szCs w:val="26"/>
              </w:rPr>
            </w:pPr>
            <w:r>
              <w:rPr>
                <w:b w:val="false"/>
                <w:bCs w:val="false"/>
                <w:sz w:val="26"/>
                <w:szCs w:val="26"/>
              </w:rPr>
            </w:r>
          </w:p>
          <w:p>
            <w:pPr>
              <w:pStyle w:val="Normal"/>
              <w:widowControl w:val="false"/>
              <w:jc w:val="both"/>
              <w:rPr>
                <w:b w:val="false"/>
                <w:b w:val="false"/>
                <w:bCs w:val="false"/>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564" w:hRule="atLeast"/>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1.</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Освіта</w:t>
            </w:r>
          </w:p>
        </w:tc>
        <w:tc>
          <w:tcPr>
            <w:tcW w:w="6474" w:type="dxa"/>
            <w:tcBorders>
              <w:start w:val="single" w:sz="2" w:space="0" w:color="000000"/>
              <w:bottom w:val="single" w:sz="2" w:space="0" w:color="000000"/>
              <w:end w:val="single" w:sz="2" w:space="0" w:color="000000"/>
            </w:tcBorders>
          </w:tcPr>
          <w:p>
            <w:pPr>
              <w:pStyle w:val="NormalWeb"/>
              <w:widowControl w:val="false"/>
              <w:suppressAutoHyphens w:val="true"/>
              <w:bidi w:val="0"/>
              <w:snapToGrid w:val="false"/>
              <w:spacing w:lineRule="auto" w:line="240" w:before="0" w:after="119"/>
              <w:ind w:start="57" w:end="227" w:firstLine="510"/>
              <w:jc w:val="both"/>
              <w:rPr/>
            </w:pPr>
            <w:r>
              <w:rPr>
                <w:rStyle w:val="CharStyle7"/>
                <w:sz w:val="26"/>
                <w:szCs w:val="26"/>
                <w:lang w:val="uk-UA"/>
              </w:rPr>
              <w:t xml:space="preserve">Вища освіта за освітнім ступенем </w:t>
            </w:r>
            <w:r>
              <w:rPr>
                <w:rStyle w:val="CharStyle7"/>
                <w:color w:val="000000"/>
                <w:spacing w:val="0"/>
                <w:w w:val="100"/>
                <w:kern w:val="0"/>
                <w:position w:val="0"/>
                <w:sz w:val="28"/>
                <w:sz w:val="26"/>
                <w:szCs w:val="26"/>
                <w:vertAlign w:val="baseline"/>
                <w:lang w:val="uk-UA" w:eastAsia="uk-UA" w:bidi="uk-UA"/>
              </w:rPr>
              <w:t>бакалавра, молодшого бакалавра.</w:t>
            </w:r>
          </w:p>
        </w:tc>
      </w:tr>
      <w:tr>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2.</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Досвід роботи</w:t>
            </w:r>
          </w:p>
        </w:tc>
        <w:tc>
          <w:tcPr>
            <w:tcW w:w="6474" w:type="dxa"/>
            <w:tcBorders>
              <w:start w:val="single" w:sz="2" w:space="0" w:color="000000"/>
              <w:bottom w:val="single" w:sz="2" w:space="0" w:color="000000"/>
              <w:end w:val="single" w:sz="2" w:space="0" w:color="000000"/>
            </w:tcBorders>
          </w:tcPr>
          <w:p>
            <w:pPr>
              <w:pStyle w:val="Normal"/>
              <w:widowControl w:val="false"/>
              <w:ind w:firstLine="567"/>
              <w:jc w:val="both"/>
              <w:rPr/>
            </w:pPr>
            <w:r>
              <w:rPr>
                <w:rStyle w:val="CharStyle7"/>
                <w:color w:val="000000"/>
                <w:spacing w:val="0"/>
                <w:w w:val="100"/>
                <w:kern w:val="0"/>
                <w:position w:val="0"/>
                <w:sz w:val="28"/>
                <w:sz w:val="26"/>
                <w:szCs w:val="26"/>
                <w:vertAlign w:val="baseline"/>
                <w:lang w:val="uk-UA" w:eastAsia="uk-UA" w:bidi="uk-UA"/>
              </w:rPr>
              <w:t>Без вимог до досвіду роботи.</w:t>
            </w:r>
          </w:p>
        </w:tc>
      </w:tr>
      <w:tr>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3.</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Володіння державною мовою</w:t>
            </w:r>
          </w:p>
        </w:tc>
        <w:tc>
          <w:tcPr>
            <w:tcW w:w="6474" w:type="dxa"/>
            <w:tcBorders>
              <w:start w:val="single" w:sz="2" w:space="0" w:color="000000"/>
              <w:bottom w:val="single" w:sz="2" w:space="0" w:color="000000"/>
              <w:end w:val="single" w:sz="2" w:space="0" w:color="000000"/>
            </w:tcBorders>
          </w:tcPr>
          <w:p>
            <w:pPr>
              <w:pStyle w:val="Rvps14"/>
              <w:widowControl w:val="false"/>
              <w:suppressAutoHyphens w:val="true"/>
              <w:bidi w:val="0"/>
              <w:spacing w:lineRule="atLeast" w:line="100" w:before="150" w:after="150"/>
              <w:ind w:start="0" w:end="227" w:firstLine="567"/>
              <w:jc w:val="start"/>
              <w:textAlignment w:val="baseline"/>
              <w:rPr>
                <w:sz w:val="26"/>
                <w:szCs w:val="26"/>
              </w:rPr>
            </w:pPr>
            <w:r>
              <w:rPr>
                <w:rFonts w:cs="Times New Roman"/>
                <w:sz w:val="26"/>
                <w:szCs w:val="26"/>
              </w:rPr>
              <w:t>Вільне володіння державною мовою.</w:t>
            </w:r>
          </w:p>
        </w:tc>
      </w:tr>
      <w:tr>
        <w:trPr/>
        <w:tc>
          <w:tcPr>
            <w:tcW w:w="9750" w:type="dxa"/>
            <w:gridSpan w:val="3"/>
            <w:tcBorders>
              <w:start w:val="single" w:sz="2" w:space="0" w:color="000000"/>
              <w:bottom w:val="single" w:sz="2" w:space="0" w:color="000000"/>
              <w:end w:val="single" w:sz="2" w:space="0" w:color="000000"/>
            </w:tcBorders>
          </w:tcPr>
          <w:p>
            <w:pPr>
              <w:pStyle w:val="Style20"/>
              <w:widowControl w:val="false"/>
              <w:jc w:val="center"/>
              <w:rPr>
                <w:sz w:val="26"/>
                <w:szCs w:val="26"/>
              </w:rPr>
            </w:pPr>
            <w:r>
              <w:rPr>
                <w:b/>
                <w:bCs/>
                <w:sz w:val="26"/>
                <w:szCs w:val="26"/>
              </w:rPr>
              <w:t>Вимоги до компетентності</w:t>
            </w:r>
          </w:p>
        </w:tc>
      </w:tr>
      <w:tr>
        <w:trPr/>
        <w:tc>
          <w:tcPr>
            <w:tcW w:w="3276" w:type="dxa"/>
            <w:gridSpan w:val="2"/>
            <w:tcBorders>
              <w:start w:val="single" w:sz="2" w:space="0" w:color="000000"/>
              <w:bottom w:val="single" w:sz="2" w:space="0" w:color="000000"/>
            </w:tcBorders>
          </w:tcPr>
          <w:p>
            <w:pPr>
              <w:pStyle w:val="Style20"/>
              <w:widowControl w:val="false"/>
              <w:jc w:val="center"/>
              <w:rPr>
                <w:b/>
                <w:b/>
                <w:bCs/>
                <w:sz w:val="26"/>
                <w:szCs w:val="26"/>
              </w:rPr>
            </w:pPr>
            <w:r>
              <w:rPr>
                <w:b/>
                <w:bCs/>
                <w:sz w:val="26"/>
                <w:szCs w:val="26"/>
              </w:rPr>
              <w:t>Вимога</w:t>
            </w:r>
          </w:p>
        </w:tc>
        <w:tc>
          <w:tcPr>
            <w:tcW w:w="6474" w:type="dxa"/>
            <w:tcBorders>
              <w:start w:val="single" w:sz="2" w:space="0" w:color="000000"/>
              <w:bottom w:val="single" w:sz="2" w:space="0" w:color="000000"/>
              <w:end w:val="single" w:sz="2" w:space="0" w:color="000000"/>
            </w:tcBorders>
          </w:tcPr>
          <w:p>
            <w:pPr>
              <w:pStyle w:val="Normal"/>
              <w:widowControl w:val="false"/>
              <w:jc w:val="center"/>
              <w:rPr>
                <w:sz w:val="26"/>
                <w:szCs w:val="26"/>
              </w:rPr>
            </w:pPr>
            <w:r>
              <w:rPr>
                <w:b/>
                <w:bCs/>
                <w:sz w:val="26"/>
                <w:szCs w:val="26"/>
              </w:rPr>
              <w:t>Компоненти вимоги</w:t>
            </w:r>
          </w:p>
        </w:tc>
      </w:tr>
      <w:tr>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1.</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Досягнення результатів</w:t>
            </w:r>
          </w:p>
        </w:tc>
        <w:tc>
          <w:tcPr>
            <w:tcW w:w="6474" w:type="dxa"/>
            <w:tcBorders>
              <w:start w:val="single" w:sz="2" w:space="0" w:color="000000"/>
              <w:bottom w:val="single" w:sz="2" w:space="0" w:color="000000"/>
              <w:end w:val="single" w:sz="2" w:space="0" w:color="000000"/>
            </w:tcBorders>
          </w:tcPr>
          <w:p>
            <w:pPr>
              <w:pStyle w:val="Style20"/>
              <w:widowControl w:val="false"/>
              <w:suppressLineNumbers/>
              <w:suppressAutoHyphens w:val="true"/>
              <w:bidi w:val="0"/>
              <w:spacing w:before="0" w:after="0"/>
              <w:ind w:start="0" w:end="57" w:firstLine="510"/>
              <w:jc w:val="both"/>
              <w:rPr>
                <w:sz w:val="26"/>
                <w:szCs w:val="26"/>
              </w:rPr>
            </w:pPr>
            <w:r>
              <w:rPr>
                <w:sz w:val="26"/>
                <w:szCs w:val="26"/>
              </w:rPr>
              <w:t>Здатність до чіткого бачення результату діяльності;</w:t>
            </w:r>
          </w:p>
          <w:p>
            <w:pPr>
              <w:pStyle w:val="Style20"/>
              <w:widowControl w:val="false"/>
              <w:suppressLineNumbers/>
              <w:suppressAutoHyphens w:val="true"/>
              <w:bidi w:val="0"/>
              <w:spacing w:before="0" w:after="0"/>
              <w:ind w:start="0" w:end="57" w:firstLine="567"/>
              <w:jc w:val="both"/>
              <w:rPr>
                <w:sz w:val="26"/>
                <w:szCs w:val="26"/>
              </w:rPr>
            </w:pPr>
            <w:r>
              <w:rPr>
                <w:sz w:val="26"/>
                <w:szCs w:val="26"/>
              </w:rPr>
              <w:t>вміння фокусувати зусилля для досягнення результату діяльності;</w:t>
            </w:r>
          </w:p>
          <w:p>
            <w:pPr>
              <w:pStyle w:val="Style20"/>
              <w:widowControl w:val="false"/>
              <w:suppressLineNumbers/>
              <w:suppressAutoHyphens w:val="true"/>
              <w:bidi w:val="0"/>
              <w:spacing w:before="0" w:after="0"/>
              <w:ind w:start="-57" w:end="57" w:firstLine="624"/>
              <w:jc w:val="both"/>
              <w:rPr>
                <w:sz w:val="26"/>
                <w:szCs w:val="26"/>
              </w:rPr>
            </w:pPr>
            <w:r>
              <w:rPr>
                <w:sz w:val="26"/>
                <w:szCs w:val="26"/>
              </w:rPr>
              <w:t>вміння запобігати перешкодам та ефективно їх долати.</w:t>
            </w:r>
          </w:p>
        </w:tc>
      </w:tr>
      <w:tr>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2.</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Відповідальність</w:t>
            </w:r>
          </w:p>
        </w:tc>
        <w:tc>
          <w:tcPr>
            <w:tcW w:w="6474" w:type="dxa"/>
            <w:tcBorders>
              <w:start w:val="single" w:sz="2" w:space="0" w:color="000000"/>
              <w:bottom w:val="single" w:sz="2" w:space="0" w:color="000000"/>
              <w:end w:val="single" w:sz="2" w:space="0" w:color="000000"/>
            </w:tcBorders>
          </w:tcPr>
          <w:p>
            <w:pPr>
              <w:pStyle w:val="Style20"/>
              <w:widowControl w:val="false"/>
              <w:suppressLineNumbers/>
              <w:suppressAutoHyphens w:val="true"/>
              <w:bidi w:val="0"/>
              <w:spacing w:before="0" w:after="0"/>
              <w:ind w:start="0" w:end="57" w:firstLine="567"/>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20"/>
              <w:widowControl w:val="false"/>
              <w:suppressLineNumbers/>
              <w:suppressAutoHyphens w:val="true"/>
              <w:bidi w:val="0"/>
              <w:spacing w:before="0" w:after="0"/>
              <w:ind w:start="0" w:end="57" w:firstLine="510"/>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20"/>
              <w:widowControl w:val="false"/>
              <w:suppressLineNumbers/>
              <w:suppressAutoHyphens w:val="true"/>
              <w:bidi w:val="0"/>
              <w:spacing w:before="0" w:after="0"/>
              <w:ind w:start="0" w:end="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3.</w:t>
            </w:r>
          </w:p>
        </w:tc>
        <w:tc>
          <w:tcPr>
            <w:tcW w:w="2731" w:type="dxa"/>
            <w:tcBorders>
              <w:start w:val="single" w:sz="2" w:space="0" w:color="000000"/>
              <w:bottom w:val="single" w:sz="2" w:space="0" w:color="000000"/>
            </w:tcBorders>
          </w:tcPr>
          <w:p>
            <w:pPr>
              <w:pStyle w:val="Style20"/>
              <w:widowControl w:val="false"/>
              <w:rPr>
                <w:sz w:val="26"/>
                <w:szCs w:val="26"/>
              </w:rPr>
            </w:pPr>
            <w:r>
              <w:rPr>
                <w:sz w:val="26"/>
                <w:szCs w:val="26"/>
              </w:rPr>
              <w:t>Цифрова грамотність</w:t>
            </w:r>
          </w:p>
        </w:tc>
        <w:tc>
          <w:tcPr>
            <w:tcW w:w="6474" w:type="dxa"/>
            <w:tcBorders>
              <w:start w:val="single" w:sz="2" w:space="0" w:color="000000"/>
              <w:bottom w:val="single" w:sz="2" w:space="0" w:color="000000"/>
              <w:end w:val="single" w:sz="2" w:space="0" w:color="000000"/>
            </w:tcBorders>
          </w:tcPr>
          <w:p>
            <w:pPr>
              <w:pStyle w:val="Style20"/>
              <w:widowControl w:val="false"/>
              <w:suppressLineNumbers/>
              <w:suppressAutoHyphens w:val="true"/>
              <w:bidi w:val="0"/>
              <w:spacing w:before="0" w:after="0"/>
              <w:ind w:start="0" w:end="57" w:firstLine="567"/>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20"/>
              <w:widowControl w:val="false"/>
              <w:suppressLineNumbers/>
              <w:suppressAutoHyphens w:val="true"/>
              <w:bidi w:val="0"/>
              <w:spacing w:before="0" w:after="0"/>
              <w:ind w:start="0" w:end="57" w:firstLine="567"/>
              <w:jc w:val="both"/>
              <w:rPr>
                <w:sz w:val="26"/>
                <w:szCs w:val="26"/>
              </w:rPr>
            </w:pPr>
            <w:r>
              <w:rPr>
                <w:sz w:val="26"/>
                <w:szCs w:val="26"/>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pPr>
              <w:pStyle w:val="Style20"/>
              <w:widowControl w:val="false"/>
              <w:suppressLineNumbers/>
              <w:suppressAutoHyphens w:val="true"/>
              <w:bidi w:val="0"/>
              <w:spacing w:before="0" w:after="0"/>
              <w:ind w:start="0" w:end="57" w:firstLine="510"/>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20"/>
              <w:widowControl w:val="false"/>
              <w:suppressLineNumbers/>
              <w:suppressAutoHyphens w:val="true"/>
              <w:bidi w:val="0"/>
              <w:spacing w:before="0" w:after="0"/>
              <w:ind w:start="0" w:end="57" w:firstLine="510"/>
              <w:jc w:val="both"/>
              <w:rPr>
                <w:sz w:val="26"/>
                <w:szCs w:val="26"/>
              </w:rPr>
            </w:pPr>
            <w:r>
              <w:rPr>
                <w:sz w:val="26"/>
                <w:szCs w:val="26"/>
              </w:rPr>
              <w:t>здатність уникати небезпек у цифровому середовищі, захищати особисті та конфіденційні дані;</w:t>
            </w:r>
          </w:p>
          <w:p>
            <w:pPr>
              <w:pStyle w:val="Style20"/>
              <w:widowControl w:val="false"/>
              <w:suppressLineNumbers/>
              <w:suppressAutoHyphens w:val="true"/>
              <w:bidi w:val="0"/>
              <w:spacing w:before="0" w:after="0"/>
              <w:ind w:start="0" w:end="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750" w:type="dxa"/>
            <w:gridSpan w:val="3"/>
            <w:tcBorders>
              <w:start w:val="single" w:sz="2" w:space="0" w:color="000000"/>
              <w:bottom w:val="single" w:sz="2" w:space="0" w:color="000000"/>
              <w:end w:val="single" w:sz="2" w:space="0" w:color="000000"/>
            </w:tcBorders>
          </w:tcPr>
          <w:p>
            <w:pPr>
              <w:pStyle w:val="Style20"/>
              <w:widowControl w:val="false"/>
              <w:jc w:val="center"/>
              <w:rPr>
                <w:sz w:val="26"/>
                <w:szCs w:val="26"/>
              </w:rPr>
            </w:pPr>
            <w:r>
              <w:rPr>
                <w:b/>
                <w:bCs/>
                <w:sz w:val="26"/>
                <w:szCs w:val="26"/>
              </w:rPr>
              <w:t>Професійні знання</w:t>
            </w:r>
          </w:p>
        </w:tc>
      </w:tr>
      <w:tr>
        <w:trPr/>
        <w:tc>
          <w:tcPr>
            <w:tcW w:w="3276" w:type="dxa"/>
            <w:gridSpan w:val="2"/>
            <w:tcBorders>
              <w:start w:val="single" w:sz="2" w:space="0" w:color="000000"/>
              <w:bottom w:val="single" w:sz="2" w:space="0" w:color="000000"/>
            </w:tcBorders>
          </w:tcPr>
          <w:p>
            <w:pPr>
              <w:pStyle w:val="Style20"/>
              <w:widowControl w:val="false"/>
              <w:jc w:val="center"/>
              <w:rPr>
                <w:b/>
                <w:b/>
                <w:bCs/>
                <w:sz w:val="26"/>
                <w:szCs w:val="26"/>
              </w:rPr>
            </w:pPr>
            <w:r>
              <w:rPr>
                <w:b/>
                <w:bCs/>
                <w:sz w:val="26"/>
                <w:szCs w:val="26"/>
              </w:rPr>
              <w:t>Вимога</w:t>
            </w:r>
          </w:p>
        </w:tc>
        <w:tc>
          <w:tcPr>
            <w:tcW w:w="6474" w:type="dxa"/>
            <w:tcBorders>
              <w:start w:val="single" w:sz="2" w:space="0" w:color="000000"/>
              <w:bottom w:val="single" w:sz="2" w:space="0" w:color="000000"/>
              <w:end w:val="single" w:sz="2" w:space="0" w:color="000000"/>
            </w:tcBorders>
          </w:tcPr>
          <w:p>
            <w:pPr>
              <w:pStyle w:val="Normal"/>
              <w:widowControl w:val="false"/>
              <w:jc w:val="center"/>
              <w:rPr>
                <w:sz w:val="26"/>
                <w:szCs w:val="26"/>
              </w:rPr>
            </w:pPr>
            <w:r>
              <w:rPr>
                <w:b/>
                <w:bCs/>
                <w:sz w:val="26"/>
                <w:szCs w:val="26"/>
              </w:rPr>
              <w:t>Компоненти вимоги</w:t>
            </w:r>
          </w:p>
        </w:tc>
      </w:tr>
      <w:tr>
        <w:trPr>
          <w:trHeight w:val="1299" w:hRule="atLeast"/>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1.</w:t>
            </w:r>
          </w:p>
        </w:tc>
        <w:tc>
          <w:tcPr>
            <w:tcW w:w="2731" w:type="dxa"/>
            <w:tcBorders>
              <w:start w:val="single" w:sz="2" w:space="0" w:color="000000"/>
              <w:bottom w:val="single" w:sz="2" w:space="0" w:color="000000"/>
            </w:tcBorders>
          </w:tcPr>
          <w:p>
            <w:pPr>
              <w:pStyle w:val="Normal"/>
              <w:widowControl w:val="false"/>
              <w:rPr>
                <w:sz w:val="26"/>
                <w:szCs w:val="26"/>
              </w:rPr>
            </w:pPr>
            <w:r>
              <w:rPr>
                <w:sz w:val="26"/>
                <w:szCs w:val="26"/>
              </w:rPr>
              <w:t>Знання законодавства</w:t>
            </w:r>
          </w:p>
        </w:tc>
        <w:tc>
          <w:tcPr>
            <w:tcW w:w="6474" w:type="dxa"/>
            <w:tcBorders>
              <w:start w:val="single" w:sz="2" w:space="0" w:color="000000"/>
              <w:bottom w:val="single" w:sz="2" w:space="0" w:color="000000"/>
              <w:end w:val="single" w:sz="2" w:space="0" w:color="000000"/>
            </w:tcBorders>
          </w:tcPr>
          <w:p>
            <w:pPr>
              <w:pStyle w:val="Normal"/>
              <w:widowControl w:val="false"/>
              <w:tabs>
                <w:tab w:val="clear" w:pos="720"/>
                <w:tab w:val="left" w:pos="570" w:leader="none"/>
              </w:tabs>
              <w:suppressAutoHyphens w:val="true"/>
              <w:bidi w:val="0"/>
              <w:spacing w:before="0" w:after="0"/>
              <w:ind w:start="-170" w:end="113" w:firstLine="737"/>
              <w:jc w:val="both"/>
              <w:rPr>
                <w:sz w:val="26"/>
                <w:szCs w:val="26"/>
              </w:rPr>
            </w:pPr>
            <w:r>
              <w:rPr>
                <w:sz w:val="26"/>
                <w:szCs w:val="26"/>
              </w:rPr>
              <w:t>Конституції України від 28 червня 1996 року;</w:t>
            </w:r>
          </w:p>
          <w:p>
            <w:pPr>
              <w:pStyle w:val="Normal"/>
              <w:widowControl w:val="false"/>
              <w:suppressAutoHyphens w:val="true"/>
              <w:bidi w:val="0"/>
              <w:spacing w:before="0" w:after="0"/>
              <w:ind w:start="0" w:end="57" w:firstLine="567"/>
              <w:jc w:val="both"/>
              <w:rPr>
                <w:sz w:val="26"/>
                <w:szCs w:val="26"/>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tabs>
                <w:tab w:val="clear" w:pos="720"/>
                <w:tab w:val="left" w:pos="90" w:leader="none"/>
              </w:tabs>
              <w:suppressAutoHyphens w:val="true"/>
              <w:bidi w:val="0"/>
              <w:spacing w:before="0" w:after="0"/>
              <w:ind w:start="0" w:end="57" w:firstLine="567"/>
              <w:jc w:val="both"/>
              <w:rPr>
                <w:sz w:val="26"/>
                <w:szCs w:val="26"/>
              </w:rPr>
            </w:pPr>
            <w:r>
              <w:rPr>
                <w:rFonts w:eastAsia="Times New Roman" w:cs="Times New Roman"/>
                <w:sz w:val="26"/>
                <w:szCs w:val="26"/>
              </w:rPr>
              <w:t>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bidi w:val="0"/>
              <w:spacing w:before="0" w:after="0"/>
              <w:ind w:start="0" w:end="57" w:firstLine="567"/>
              <w:jc w:val="both"/>
              <w:rPr>
                <w:sz w:val="26"/>
                <w:szCs w:val="26"/>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true"/>
              <w:bidi w:val="0"/>
              <w:spacing w:before="0" w:after="0"/>
              <w:ind w:start="57" w:end="57" w:firstLine="567"/>
              <w:jc w:val="both"/>
              <w:rPr>
                <w:sz w:val="26"/>
                <w:szCs w:val="26"/>
              </w:rPr>
            </w:pPr>
            <w:r>
              <w:rPr>
                <w:sz w:val="26"/>
                <w:szCs w:val="26"/>
              </w:rPr>
              <w:t>Закону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45" w:type="dxa"/>
            <w:tcBorders>
              <w:start w:val="single" w:sz="2" w:space="0" w:color="000000"/>
              <w:bottom w:val="single" w:sz="2" w:space="0" w:color="000000"/>
            </w:tcBorders>
          </w:tcPr>
          <w:p>
            <w:pPr>
              <w:pStyle w:val="Style20"/>
              <w:widowControl w:val="false"/>
              <w:jc w:val="center"/>
              <w:rPr>
                <w:sz w:val="26"/>
                <w:szCs w:val="26"/>
              </w:rPr>
            </w:pPr>
            <w:r>
              <w:rPr>
                <w:sz w:val="26"/>
                <w:szCs w:val="26"/>
              </w:rPr>
              <w:t>2.</w:t>
            </w:r>
          </w:p>
        </w:tc>
        <w:tc>
          <w:tcPr>
            <w:tcW w:w="2731" w:type="dxa"/>
            <w:tcBorders>
              <w:start w:val="single" w:sz="2" w:space="0" w:color="000000"/>
              <w:bottom w:val="single" w:sz="2" w:space="0" w:color="000000"/>
            </w:tcBorders>
          </w:tcPr>
          <w:p>
            <w:pPr>
              <w:pStyle w:val="Normal"/>
              <w:widowControl w:val="false"/>
              <w:rPr>
                <w:sz w:val="26"/>
                <w:szCs w:val="26"/>
              </w:rPr>
            </w:pPr>
            <w:r>
              <w:rPr>
                <w:sz w:val="26"/>
                <w:szCs w:val="26"/>
              </w:rPr>
              <w:t>Знання законодавства у сфері</w:t>
            </w:r>
          </w:p>
        </w:tc>
        <w:tc>
          <w:tcPr>
            <w:tcW w:w="6474" w:type="dxa"/>
            <w:tcBorders>
              <w:start w:val="single" w:sz="2" w:space="0" w:color="000000"/>
              <w:bottom w:val="single" w:sz="2" w:space="0" w:color="000000"/>
              <w:end w:val="single" w:sz="2" w:space="0" w:color="000000"/>
            </w:tcBorders>
          </w:tcPr>
          <w:p>
            <w:pPr>
              <w:pStyle w:val="Normal"/>
              <w:widowControl w:val="false"/>
              <w:suppressAutoHyphens w:val="true"/>
              <w:overflowPunct w:val="true"/>
              <w:bidi w:val="0"/>
              <w:spacing w:before="0" w:after="0"/>
              <w:ind w:start="0" w:end="113" w:firstLine="567"/>
              <w:jc w:val="both"/>
              <w:rPr>
                <w:highlight w:val="none"/>
                <w:shd w:fill="auto" w:val="clear"/>
              </w:rPr>
            </w:pPr>
            <w:r>
              <w:rPr>
                <w:rFonts w:eastAsia="Times New Roman" w:cs="Times New Roman"/>
                <w:color w:val="00000A"/>
                <w:kern w:val="0"/>
                <w:sz w:val="26"/>
                <w:szCs w:val="26"/>
                <w:shd w:fill="auto" w:val="clear"/>
                <w:lang w:eastAsia="zh-CN" w:bidi="ar-SA"/>
              </w:rPr>
              <w:t>Бюджетного кодексу України від 21 червня 2001 року № 2542-III;</w:t>
            </w:r>
          </w:p>
          <w:p>
            <w:pPr>
              <w:pStyle w:val="Normal"/>
              <w:widowControl w:val="false"/>
              <w:suppressAutoHyphens w:val="true"/>
              <w:overflowPunct w:val="true"/>
              <w:bidi w:val="0"/>
              <w:spacing w:before="0" w:after="0"/>
              <w:ind w:start="0" w:end="113" w:firstLine="567"/>
              <w:jc w:val="both"/>
              <w:rPr>
                <w:highlight w:val="none"/>
                <w:shd w:fill="auto" w:val="clear"/>
              </w:rPr>
            </w:pPr>
            <w:r>
              <w:rPr>
                <w:rFonts w:eastAsia="Times New Roman" w:cs="Times New Roman"/>
                <w:color w:val="00000A"/>
                <w:kern w:val="0"/>
                <w:sz w:val="26"/>
                <w:szCs w:val="26"/>
                <w:shd w:fill="auto" w:val="clear"/>
                <w:lang w:eastAsia="zh-CN" w:bidi="ar-SA"/>
              </w:rPr>
              <w:t>Закону України “Про загальнообов’язкове державне пенсійне страхування” від 09 липня 2003 року № 1058-IV;</w:t>
            </w:r>
          </w:p>
          <w:p>
            <w:pPr>
              <w:pStyle w:val="Normal"/>
              <w:widowControl w:val="false"/>
              <w:suppressAutoHyphens w:val="true"/>
              <w:overflowPunct w:val="true"/>
              <w:bidi w:val="0"/>
              <w:spacing w:before="0" w:after="0"/>
              <w:ind w:start="0" w:end="113" w:firstLine="567"/>
              <w:jc w:val="both"/>
              <w:rPr>
                <w:highlight w:val="none"/>
                <w:shd w:fill="auto" w:val="clear"/>
              </w:rPr>
            </w:pPr>
            <w:r>
              <w:rPr>
                <w:rFonts w:eastAsia="Times New Roman" w:cs="Times New Roman"/>
                <w:color w:val="00000A"/>
                <w:kern w:val="0"/>
                <w:sz w:val="26"/>
                <w:szCs w:val="26"/>
                <w:shd w:fill="auto" w:val="clear"/>
                <w:lang w:eastAsia="zh-CN" w:bidi="ar-SA"/>
              </w:rPr>
              <w:t>Постанови Кабінету Міністрів України “Про затвердження Основних засад функціонування внутрішнього контролю у розпорядників бюджетних коштів та внесення змін до постанови Кабінету Міністрів України від 28 вересня 2011 року №1001” від 12 грудня 2018 року “1062;</w:t>
            </w:r>
          </w:p>
          <w:p>
            <w:pPr>
              <w:pStyle w:val="Normal"/>
              <w:widowControl w:val="false"/>
              <w:suppressAutoHyphens w:val="true"/>
              <w:overflowPunct w:val="true"/>
              <w:bidi w:val="0"/>
              <w:spacing w:before="0" w:after="0"/>
              <w:ind w:start="0" w:end="113" w:firstLine="567"/>
              <w:jc w:val="both"/>
              <w:rPr>
                <w:highlight w:val="none"/>
                <w:shd w:fill="auto" w:val="clear"/>
              </w:rPr>
            </w:pPr>
            <w:r>
              <w:rPr>
                <w:rFonts w:eastAsia="Times New Roman" w:cs="Times New Roman"/>
                <w:color w:val="00000A"/>
                <w:kern w:val="0"/>
                <w:sz w:val="26"/>
                <w:szCs w:val="26"/>
                <w:shd w:fill="auto" w:val="clear"/>
                <w:lang w:eastAsia="zh-CN" w:bidi="ar-SA"/>
              </w:rPr>
              <w:t>Наказу Міністерства фінансів України “Про затвердження Методичних рекомендацій з організації внутрішнього контролю розпорядниками бюджетних коштів у своїх закладах та у підвідомчих бюджетних установах” від 14 вересня 2012 року № 995.</w:t>
            </w:r>
          </w:p>
        </w:tc>
      </w:tr>
    </w:tbl>
    <w:p>
      <w:pPr>
        <w:pStyle w:val="Normal"/>
        <w:suppressAutoHyphens w:val="false"/>
        <w:snapToGrid w:val="false"/>
        <w:jc w:val="center"/>
        <w:rPr/>
      </w:pPr>
      <w:r>
        <w:rPr/>
      </w:r>
    </w:p>
    <w:p>
      <w:pPr>
        <w:pStyle w:val="Normal"/>
        <w:suppressAutoHyphens w:val="false"/>
        <w:snapToGrid w:val="false"/>
        <w:jc w:val="center"/>
        <w:rPr/>
      </w:pPr>
      <w:r>
        <w:rPr/>
        <w:t>____________________________________</w:t>
      </w:r>
    </w:p>
    <w:sectPr>
      <w:headerReference w:type="default" r:id="rId3"/>
      <w:type w:val="nextPage"/>
      <w:pgSz w:w="11906" w:h="16838"/>
      <w:pgMar w:left="1701" w:right="567" w:gutter="0" w:header="1134" w:top="1716"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Times New Roman">
    <w:charset w:val="cc" w:characterSet="windows-1251"/>
    <w:family w:val="roman"/>
    <w:pitch w:val="variable"/>
  </w:font>
  <w:font w:name="Cambria">
    <w:charset w:val="cc" w:characterSet="windows-1251"/>
    <w:family w:val="roman"/>
    <w:pitch w:val="variable"/>
  </w:font>
  <w:font w:name="Calibri">
    <w:charset w:val="cc" w:characterSet="windows-1251"/>
    <w:family w:val="roman"/>
    <w:pitch w:val="variable"/>
  </w:font>
  <w:font w:name="Arial Unicode MS">
    <w:charset w:val="cc" w:characterSet="windows-1251"/>
    <w:family w:val="roman"/>
    <w:pitch w:val="variable"/>
  </w:font>
  <w:font w:name="Sylfaen">
    <w:charset w:val="cc" w:characterSet="windows-1251"/>
    <w:family w:val="roman"/>
    <w:pitch w:val="variable"/>
  </w:font>
  <w:font w:name="Arial">
    <w:charset w:val="cc" w:characterSet="windows-1251"/>
    <w:family w:val="roman"/>
    <w:pitch w:val="variable"/>
  </w:font>
  <w:font w:name="Liberation Mono">
    <w:altName w:val="Courier New"/>
    <w:charset w:val="cc" w:characterSet="windows-1251"/>
    <w:family w:val="roman"/>
    <w:pitch w:val="variable"/>
  </w:font>
  <w:font w:name="Verdana">
    <w:charset w:val="cc" w:characterSet="windows-125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3"/>
      <w:jc w:val="center"/>
      <w:rPr>
        <w:sz w:val="26"/>
        <w:szCs w:val="26"/>
      </w:rPr>
    </w:pPr>
    <w:r>
      <w:rPr>
        <w:sz w:val="26"/>
        <w:szCs w:val="26"/>
      </w:rPr>
      <w:t xml:space="preserve">                                                            </w:t>
    </w:r>
    <w:r>
      <w:rPr>
        <w:sz w:val="26"/>
        <w:szCs w:val="26"/>
      </w:rPr>
      <w:fldChar w:fldCharType="begin"/>
    </w:r>
    <w:r>
      <w:rPr>
        <w:sz w:val="26"/>
        <w:szCs w:val="26"/>
      </w:rPr>
      <w:instrText xml:space="preserve"> PAGE </w:instrText>
    </w:r>
    <w:r>
      <w:rPr>
        <w:sz w:val="26"/>
        <w:szCs w:val="26"/>
      </w:rPr>
      <w:fldChar w:fldCharType="separate"/>
    </w:r>
    <w:r>
      <w:rPr>
        <w:sz w:val="26"/>
        <w:szCs w:val="26"/>
      </w:rPr>
      <w:t>4</w:t>
    </w:r>
    <w:r>
      <w:rPr>
        <w:sz w:val="26"/>
        <w:szCs w:val="26"/>
      </w:rPr>
      <w:fldChar w:fldCharType="end"/>
    </w:r>
    <w:r>
      <w:rPr>
        <w:sz w:val="26"/>
        <w:szCs w:val="26"/>
      </w:rPr>
      <w:t xml:space="preserve">                                         </w:t>
    </w:r>
    <w:r>
      <w:rPr>
        <w:sz w:val="26"/>
        <w:szCs w:val="26"/>
        <w:lang w:val="uk-UA"/>
      </w:rPr>
      <w:t>П</w:t>
    </w:r>
    <w:r>
      <w:rPr>
        <w:sz w:val="26"/>
        <w:szCs w:val="26"/>
      </w:rPr>
      <w:t>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start="0" w:end="3712" w:hanging="0"/>
      <w:outlineLvl w:val="3"/>
    </w:pPr>
    <w:rPr>
      <w:b/>
      <w:sz w:val="28"/>
    </w:rPr>
  </w:style>
  <w:style w:type="paragraph" w:styleId="5">
    <w:name w:val="Heading 5"/>
    <w:basedOn w:val="Normal"/>
    <w:next w:val="Normal"/>
    <w:link w:val="Heading5Char"/>
    <w:qFormat/>
    <w:pPr>
      <w:keepNext w:val="true"/>
      <w:jc w:val="end"/>
      <w:outlineLvl w:val="4"/>
    </w:pPr>
    <w:rPr>
      <w:sz w:val="24"/>
      <w:lang w:val="en-US"/>
    </w:rPr>
  </w:style>
  <w:style w:type="paragraph" w:styleId="6">
    <w:name w:val="Heading 6"/>
    <w:basedOn w:val="Style10"/>
    <w:link w:val="Heading6Char"/>
    <w:qFormat/>
    <w:pPr>
      <w:outlineLvl w:val="5"/>
    </w:pPr>
    <w:rPr>
      <w:b/>
      <w:bCs/>
      <w:sz w:val="21"/>
      <w:szCs w:val="21"/>
    </w:rPr>
  </w:style>
  <w:style w:type="paragraph" w:styleId="7">
    <w:name w:val="Heading 7"/>
    <w:basedOn w:val="Style10"/>
    <w:link w:val="Heading7Char"/>
    <w:qFormat/>
    <w:pPr>
      <w:outlineLvl w:val="6"/>
    </w:pPr>
    <w:rPr>
      <w:b/>
      <w:bCs/>
      <w:sz w:val="21"/>
      <w:szCs w:val="21"/>
    </w:rPr>
  </w:style>
  <w:style w:type="paragraph" w:styleId="8">
    <w:name w:val="Heading 8"/>
    <w:basedOn w:val="Style10"/>
    <w:link w:val="Heading8Char"/>
    <w:qFormat/>
    <w:pPr>
      <w:outlineLvl w:val="7"/>
    </w:pPr>
    <w:rPr>
      <w:b/>
      <w:bCs/>
      <w:sz w:val="21"/>
      <w:szCs w:val="21"/>
    </w:rPr>
  </w:style>
  <w:style w:type="paragraph" w:styleId="9">
    <w:name w:val="Heading 9"/>
    <w:basedOn w:val="Style10"/>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basedOn w:val="DefaultParagraphFont"/>
    <w:qFormat/>
    <w:rPr>
      <w:rFonts w:eastAsia="Times New Roman"/>
      <w:szCs w:val="26"/>
      <w:lang w:eastAsia="ar-SA"/>
    </w:rPr>
  </w:style>
  <w:style w:type="character" w:styleId="Style9">
    <w:name w:val="Символ нумерації"/>
    <w:qFormat/>
    <w:rPr/>
  </w:style>
  <w:style w:type="paragraph" w:styleId="Style10">
    <w:name w:val="Заголовок"/>
    <w:basedOn w:val="Normal"/>
    <w:next w:val="Style11"/>
    <w:qFormat/>
    <w:pPr>
      <w:keepNext w:val="true"/>
      <w:spacing w:before="240" w:after="120"/>
    </w:pPr>
    <w:rPr>
      <w:rFonts w:ascii="Arial" w:hAnsi="Arial" w:eastAsia="Lucida Sans Unicode" w:cs="Mangal"/>
      <w:sz w:val="28"/>
      <w:szCs w:val="28"/>
    </w:rPr>
  </w:style>
  <w:style w:type="paragraph" w:styleId="Style11">
    <w:name w:val="Body Text"/>
    <w:basedOn w:val="Normal"/>
    <w:link w:val="BodyTextChar"/>
    <w:pPr>
      <w:spacing w:lineRule="atLeast" w:line="240"/>
    </w:pPr>
    <w:rPr>
      <w:sz w:val="28"/>
    </w:rPr>
  </w:style>
  <w:style w:type="paragraph" w:styleId="Style12">
    <w:name w:val="List"/>
    <w:basedOn w:val="Style11"/>
    <w:pPr/>
    <w:rPr>
      <w:rFonts w:cs="Mangal"/>
    </w:rPr>
  </w:style>
  <w:style w:type="paragraph" w:styleId="Style13">
    <w:name w:val="Caption"/>
    <w:basedOn w:val="Normal"/>
    <w:qFormat/>
    <w:pPr>
      <w:suppressLineNumbers/>
      <w:spacing w:before="120" w:after="120"/>
    </w:pPr>
    <w:rPr>
      <w:rFonts w:cs="Mangal"/>
      <w:i/>
      <w:iCs/>
      <w:sz w:val="24"/>
      <w:szCs w:val="24"/>
    </w:rPr>
  </w:style>
  <w:style w:type="paragraph" w:styleId="Style14">
    <w:name w:val="Покажчик"/>
    <w:basedOn w:val="Normal"/>
    <w:qFormat/>
    <w:pPr>
      <w:suppressLineNumbers/>
    </w:pPr>
    <w:rPr>
      <w:rFonts w:cs="Mangal"/>
    </w:rPr>
  </w:style>
  <w:style w:type="paragraph" w:styleId="Caption1">
    <w:name w:val="caption1"/>
    <w:basedOn w:val="Normal"/>
    <w:qFormat/>
    <w:pPr>
      <w:suppressLineNumbers/>
      <w:spacing w:before="120" w:after="120"/>
    </w:pPr>
    <w:rPr>
      <w:rFonts w:cs="Mangal"/>
      <w:i/>
      <w:iCs/>
      <w:sz w:val="24"/>
      <w:szCs w:val="24"/>
    </w:rPr>
  </w:style>
  <w:style w:type="paragraph" w:styleId="Style15">
    <w:name w:val="Title"/>
    <w:basedOn w:val="Style10"/>
    <w:link w:val="TitleChar"/>
    <w:qFormat/>
    <w:pPr>
      <w:jc w:val="center"/>
    </w:pPr>
    <w:rPr>
      <w:b/>
      <w:bCs/>
      <w:sz w:val="56"/>
      <w:szCs w:val="56"/>
    </w:rPr>
  </w:style>
  <w:style w:type="paragraph" w:styleId="Index1">
    <w:name w:val="index 1"/>
    <w:basedOn w:val="Normal"/>
    <w:next w:val="Normal"/>
    <w:autoRedefine/>
    <w:qFormat/>
    <w:pPr>
      <w:ind w:start="200" w:end="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start="0" w:end="0" w:firstLine="720"/>
    </w:pPr>
    <w:rPr>
      <w:sz w:val="28"/>
    </w:rPr>
  </w:style>
  <w:style w:type="paragraph" w:styleId="Style16">
    <w:name w:val="Body Text Indent"/>
    <w:basedOn w:val="Normal"/>
    <w:link w:val="BodyTextIndentChar"/>
    <w:pPr>
      <w:ind w:start="720" w:end="0" w:hanging="0"/>
    </w:pPr>
    <w:rPr>
      <w:sz w:val="28"/>
    </w:rPr>
  </w:style>
  <w:style w:type="paragraph" w:styleId="Style17">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8">
    <w:name w:val="Содержимое таблицы"/>
    <w:basedOn w:val="Normal"/>
    <w:qFormat/>
    <w:pPr>
      <w:suppressLineNumbers/>
    </w:pPr>
    <w:rPr/>
  </w:style>
  <w:style w:type="paragraph" w:styleId="Style19">
    <w:name w:val="Заголовок таблицы"/>
    <w:basedOn w:val="Style18"/>
    <w:qFormat/>
    <w:pPr>
      <w:jc w:val="center"/>
    </w:pPr>
    <w:rPr>
      <w:b/>
      <w:bCs/>
    </w:rPr>
  </w:style>
  <w:style w:type="paragraph" w:styleId="10">
    <w:name w:val="Заголовок 10"/>
    <w:basedOn w:val="Style10"/>
    <w:qFormat/>
    <w:pPr/>
    <w:rPr>
      <w:b/>
      <w:bCs/>
      <w:sz w:val="21"/>
      <w:szCs w:val="21"/>
    </w:rPr>
  </w:style>
  <w:style w:type="paragraph" w:styleId="Style20">
    <w:name w:val="Вміст таблиці"/>
    <w:basedOn w:val="Normal"/>
    <w:qFormat/>
    <w:pPr>
      <w:suppressLineNumbers/>
    </w:pPr>
    <w:rPr/>
  </w:style>
  <w:style w:type="paragraph" w:styleId="Style21">
    <w:name w:val="Заголовок таблиці"/>
    <w:basedOn w:val="Style20"/>
    <w:qFormat/>
    <w:pPr>
      <w:jc w:val="center"/>
    </w:pPr>
    <w:rPr>
      <w:b/>
      <w:bCs/>
    </w:rPr>
  </w:style>
  <w:style w:type="paragraph" w:styleId="Style22">
    <w:name w:val="Цитата у блоці"/>
    <w:basedOn w:val="Normal"/>
    <w:qFormat/>
    <w:pPr>
      <w:spacing w:before="0" w:after="283"/>
      <w:ind w:start="567" w:end="567" w:hanging="0"/>
    </w:pPr>
    <w:rPr/>
  </w:style>
  <w:style w:type="paragraph" w:styleId="Style23">
    <w:name w:val="Subtitle"/>
    <w:basedOn w:val="Style10"/>
    <w:link w:val="SubtitleChar"/>
    <w:qFormat/>
    <w:pPr>
      <w:spacing w:before="60" w:after="120"/>
      <w:jc w:val="center"/>
    </w:pPr>
    <w:rPr>
      <w:sz w:val="36"/>
      <w:szCs w:val="36"/>
    </w:rPr>
  </w:style>
  <w:style w:type="paragraph" w:styleId="Style24">
    <w:name w:val="Заглавие"/>
    <w:basedOn w:val="Normal"/>
    <w:qFormat/>
    <w:pPr>
      <w:jc w:val="center"/>
    </w:pPr>
    <w:rPr>
      <w:sz w:val="28"/>
    </w:rPr>
  </w:style>
  <w:style w:type="paragraph" w:styleId="Style25">
    <w:name w:val="Текст у вказаному форматі"/>
    <w:basedOn w:val="Normal"/>
    <w:qFormat/>
    <w:pPr/>
    <w:rPr>
      <w:rFonts w:ascii="Liberation Mono" w:hAnsi="Liberation Mono" w:eastAsia="NSimSun" w:cs="Liberation Mono"/>
    </w:rPr>
  </w:style>
  <w:style w:type="paragraph" w:styleId="Style26">
    <w:name w:val="Нормальний текст"/>
    <w:basedOn w:val="Normal"/>
    <w:qFormat/>
    <w:pPr>
      <w:spacing w:before="120" w:after="0"/>
      <w:ind w:start="0" w:end="0" w:firstLine="567"/>
    </w:pPr>
    <w:rPr/>
  </w:style>
  <w:style w:type="paragraph" w:styleId="Rvps14">
    <w:name w:val="rvps14"/>
    <w:basedOn w:val="Normal"/>
    <w:qFormat/>
    <w:pPr>
      <w:spacing w:before="100" w:after="100"/>
    </w:pPr>
    <w:rPr>
      <w:sz w:val="24"/>
      <w:szCs w:val="24"/>
    </w:rPr>
  </w:style>
  <w:style w:type="paragraph" w:styleId="Style27">
    <w:name w:val="Обычный (веб)"/>
    <w:basedOn w:val="Normal"/>
    <w:qFormat/>
    <w:pPr>
      <w:suppressAutoHyphens w:val="true"/>
    </w:pPr>
    <w:rPr/>
  </w:style>
  <w:style w:type="paragraph" w:styleId="Style28">
    <w:name w:val="Абзац списка"/>
    <w:basedOn w:val="Normal"/>
    <w:qFormat/>
    <w:pPr>
      <w:tabs>
        <w:tab w:val="clear" w:pos="720"/>
      </w:tabs>
      <w:suppressAutoHyphens w:val="true"/>
      <w:spacing w:before="280" w:after="280"/>
      <w:ind w:start="120" w:end="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true"/>
      <w:bidi w:val="0"/>
      <w:spacing w:lineRule="auto" w:line="240" w:before="0" w:after="0"/>
      <w:jc w:val="star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9">
    <w:name w:val="Указатель"/>
    <w:basedOn w:val="Normal"/>
    <w:qFormat/>
    <w:pPr/>
    <w:rPr>
      <w:rFonts w:cs="Mangal"/>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sz w:val="24"/>
      <w:szCs w:val="24"/>
      <w:lang w:val="ru-RU" w:eastAsia="zh-CN"/>
    </w:rPr>
  </w:style>
  <w:style w:type="paragraph" w:styleId="31">
    <w:name w:val="Название3"/>
    <w:basedOn w:val="Normal"/>
    <w:next w:val="11"/>
    <w:qFormat/>
    <w:pPr>
      <w:suppressLineNumbers/>
      <w:spacing w:before="120" w:after="120"/>
    </w:pPr>
    <w:rPr>
      <w:rFonts w:cs="Mangal"/>
      <w:i/>
      <w:iCs/>
      <w:sz w:val="24"/>
      <w:szCs w:val="24"/>
    </w:rPr>
  </w:style>
  <w:style w:type="paragraph" w:styleId="11">
    <w:name w:val=" Знак Знак1 Знак Знак Знак Знак Знак Знак Знак"/>
    <w:basedOn w:val="Normal"/>
    <w:next w:val="Style30"/>
    <w:qFormat/>
    <w:pPr/>
    <w:rPr>
      <w:rFonts w:ascii="Verdana" w:hAnsi="Verdana" w:cs="Verdana"/>
      <w:sz w:val="20"/>
      <w:szCs w:val="20"/>
      <w:lang w:val="en-US"/>
    </w:rPr>
  </w:style>
  <w:style w:type="paragraph" w:styleId="Style30">
    <w:name w:val="Вміст рамки"/>
    <w:basedOn w:val="Normal"/>
    <w:qFormat/>
    <w:pPr/>
    <w:rPr/>
  </w:style>
  <w:style w:type="paragraph" w:styleId="Style31">
    <w:name w:val="Содержимое фрейма"/>
    <w:basedOn w:val="31"/>
    <w:qFormat/>
    <w:pPr/>
    <w:rPr/>
  </w:style>
  <w:style w:type="paragraph" w:styleId="Style32">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3">
    <w:name w:val="Header"/>
    <w:basedOn w:val="Style32"/>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Template>
  <TotalTime>1779</TotalTime>
  <Application>LibreOffice/7.4.3.2$Windows_X86_64 LibreOffice_project/1048a8393ae2eeec98dff31b5c133c5f1d08b890</Application>
  <AppVersion>15.0000</AppVersion>
  <Pages>4</Pages>
  <Words>883</Words>
  <Characters>6159</Characters>
  <CharactersWithSpaces>7058</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2025-06-04T12:10:15Z</dcterms:modified>
  <cp:revision>327</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