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___________№___________</w:t>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pP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категорії “В” </w:t>
      </w:r>
      <w:r>
        <w:rPr>
          <w:rFonts w:eastAsia="Times New Roman" w:cs="Times New Roman"/>
          <w:b w:val="false"/>
          <w:bCs w:val="false"/>
          <w:color w:val="000000"/>
          <w:sz w:val="26"/>
          <w:szCs w:val="26"/>
          <w:lang w:val="uk-UA" w:eastAsia="zh-CN" w:bidi="ar-SA"/>
        </w:rPr>
        <w:t>‒</w:t>
      </w:r>
      <w:r>
        <w:rPr>
          <w:b w:val="false"/>
          <w:bCs w:val="false"/>
          <w:color w:val="000000"/>
          <w:sz w:val="26"/>
          <w:szCs w:val="26"/>
          <w:lang w:val="uk-UA" w:eastAsia="zh-CN" w:bidi="ar-SA"/>
        </w:rPr>
        <w:t xml:space="preserve"> головного спеціаліста відділу контролю за правильністю нарахування житлових субсидій та пільгових</w:t>
      </w:r>
    </w:p>
    <w:p>
      <w:pPr>
        <w:pStyle w:val="Normal"/>
        <w:suppressAutoHyphens w:val="true"/>
        <w:snapToGrid w:val="false"/>
        <w:jc w:val="center"/>
        <w:rPr/>
      </w:pPr>
      <w:r>
        <w:rPr>
          <w:b w:val="false"/>
          <w:bCs w:val="false"/>
          <w:color w:val="000000"/>
          <w:sz w:val="26"/>
          <w:szCs w:val="26"/>
          <w:lang w:val="uk-UA" w:eastAsia="zh-CN" w:bidi="ar-SA"/>
        </w:rPr>
        <w:t>Управління пенсійного забезпечення, надання страхових виплат, соціальних послуг, житлових субсидій та пільг</w:t>
      </w:r>
    </w:p>
    <w:p>
      <w:pPr>
        <w:pStyle w:val="Normal"/>
        <w:suppressAutoHyphens w:val="true"/>
        <w:snapToGrid w:val="false"/>
        <w:jc w:val="center"/>
        <w:rPr>
          <w:b w:val="false"/>
          <w:b w:val="false"/>
          <w:bCs w:val="false"/>
          <w:color w:val="000000"/>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pPr>
      <w:r>
        <w:rPr>
          <w:b w:val="false"/>
          <w:bCs w:val="false"/>
          <w:color w:val="000000"/>
          <w:sz w:val="26"/>
          <w:szCs w:val="26"/>
        </w:rPr>
        <w:t>(класифікаційний код посади 2</w:t>
      </w:r>
      <w:r>
        <w:rPr>
          <w:rFonts w:eastAsia="NSimSun" w:cs="Times New Roman"/>
          <w:b w:val="false"/>
          <w:bCs w:val="false"/>
          <w:i w:val="false"/>
          <w:caps w:val="false"/>
          <w:smallCaps w:val="false"/>
          <w:color w:val="000000"/>
          <w:spacing w:val="0"/>
          <w:kern w:val="2"/>
          <w:sz w:val="26"/>
          <w:szCs w:val="26"/>
          <w:shd w:fill="auto" w:val="clear"/>
          <w:lang w:val="en-US" w:eastAsia="zh-CN" w:bidi="hi-IN"/>
        </w:rPr>
        <w:t>-</w:t>
      </w:r>
      <w:r>
        <w:rPr>
          <w:rFonts w:eastAsia="NSimSun" w:cs="Times New Roman"/>
          <w:b w:val="false"/>
          <w:bCs w:val="false"/>
          <w:i w:val="false"/>
          <w:caps w:val="false"/>
          <w:smallCaps w:val="false"/>
          <w:color w:val="000000"/>
          <w:spacing w:val="0"/>
          <w:kern w:val="2"/>
          <w:sz w:val="26"/>
          <w:szCs w:val="26"/>
          <w:shd w:fill="auto" w:val="clear"/>
          <w:lang w:val="uk-UA" w:eastAsia="zh-CN" w:bidi="hi-IN"/>
        </w:rPr>
        <w:t>VІІ</w:t>
      </w:r>
      <w:r>
        <w:rPr>
          <w:rFonts w:eastAsia="NSimSun" w:cs="Times New Roman"/>
          <w:b w:val="false"/>
          <w:bCs w:val="false"/>
          <w:i w:val="false"/>
          <w:caps w:val="false"/>
          <w:smallCaps w:val="false"/>
          <w:color w:val="000000"/>
          <w:spacing w:val="0"/>
          <w:kern w:val="2"/>
          <w:sz w:val="26"/>
          <w:szCs w:val="26"/>
          <w:shd w:fill="auto" w:val="clear"/>
          <w:lang w:val="en-US"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м. Луцьк</w:t>
      </w:r>
      <w:r>
        <w:rPr>
          <w:rFonts w:eastAsia="Times New Roman" w:cs="Times New Roman"/>
          <w:b w:val="false"/>
          <w:bCs w:val="false"/>
          <w:color w:val="000000"/>
          <w:sz w:val="26"/>
          <w:szCs w:val="26"/>
        </w:rPr>
        <w:t>, вул. Кривай Вал</w:t>
      </w:r>
      <w:r>
        <w:rPr>
          <w:rFonts w:eastAsia="Times New Roman" w:cs="Times New Roman"/>
          <w:b w:val="false"/>
          <w:bCs w:val="false"/>
          <w:color w:val="000000"/>
          <w:sz w:val="26"/>
          <w:szCs w:val="26"/>
          <w:shd w:fill="auto" w:val="clear"/>
        </w:rPr>
        <w:t>, буд. 32</w:t>
      </w:r>
      <w:r>
        <w:rPr>
          <w:b w:val="false"/>
          <w:bCs w:val="false"/>
          <w:color w:val="000000"/>
          <w:sz w:val="26"/>
          <w:szCs w:val="26"/>
          <w:shd w:fill="auto" w:val="clear"/>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645" w:type="dxa"/>
        <w:jc w:val="left"/>
        <w:tblInd w:w="-57" w:type="dxa"/>
        <w:tblLayout w:type="fixed"/>
        <w:tblCellMar>
          <w:top w:w="55" w:type="dxa"/>
          <w:left w:w="55" w:type="dxa"/>
          <w:bottom w:w="55" w:type="dxa"/>
          <w:right w:w="55" w:type="dxa"/>
        </w:tblCellMar>
      </w:tblPr>
      <w:tblGrid>
        <w:gridCol w:w="543"/>
        <w:gridCol w:w="3072"/>
        <w:gridCol w:w="6030"/>
      </w:tblGrid>
      <w:tr>
        <w:trPr/>
        <w:tc>
          <w:tcPr>
            <w:tcW w:w="9645" w:type="dxa"/>
            <w:gridSpan w:val="3"/>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Загальні умови</w:t>
            </w:r>
          </w:p>
        </w:tc>
      </w:tr>
      <w:tr>
        <w:trPr>
          <w:trHeight w:val="5886" w:hRule="atLeast"/>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1) Здійснення контролю за прийняттям рішень щодо надання населенню житлових субсидій та пільг за матеріалами, поданими заявниками на особистому прийомі чи засобами вебпорталу Пенсійного фонду України за екстериторіальним принципом опрацювання звернень. Перевірка матеріалів електронних особових справ, по яких проведено перерахунок соціальних виплат без додаткових звернень </w:t>
            </w:r>
            <w:r>
              <w:rPr>
                <w:b w:val="false"/>
                <w:i w:val="false"/>
                <w:strike w:val="false"/>
                <w:dstrike w:val="false"/>
                <w:outline w:val="false"/>
                <w:shadow w:val="false"/>
                <w:color w:val="auto"/>
                <w:sz w:val="26"/>
                <w:szCs w:val="26"/>
                <w:u w:val="none"/>
                <w:em w:val="none"/>
              </w:rPr>
              <w:t>;</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2) Забезпечення контролю за дотриманням законодавства при прийнятті рішень про відмову у наданні пільг та житлових субсидій шляхом перевірки одержаних матеріалів за екстериторіальним принципом опрацювання звернень;</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3) Забезпечення контролю за дотриманням термінів при призначенні/перерахунку пільг та житлових субсидій, проведених без звернення;</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4) Здійснення перевірки інформації, поданої реципієнтами для призначення соціальних виплат, за рекомендаціями, наданими Міністерством фінансів України. Прийняття рішення про припинення/продовження виплати житлових субсидій та пільг; </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5) Забезпечення в межах своєї компетенції розгляд звернень, заяв та скарг, які надходять до Головного управління. Ініціювання, у разі необхідності, перегляд матеріалів електронних справ;</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000000"/>
                <w:kern w:val="0"/>
                <w:sz w:val="26"/>
                <w:szCs w:val="26"/>
                <w:u w:val="none"/>
                <w:shd w:fill="auto" w:val="clear"/>
                <w:em w:val="none"/>
                <w:lang w:val="uk-UA" w:eastAsia="ru-RU" w:bidi="ar-SA"/>
              </w:rPr>
              <w:t>6) З</w:t>
            </w: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дійснення підготовки запитів з питань застосування чинного законодавства. Опрацьовування запитів підприємств, установ, організацій, громадян з питань застосування при розгляді питань щодо надання соціальних виплат; </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7) Проведення інформаційно-роз’яснювальної роботи з питань застосування законодавства щодо надання населенню житлових субсидій та пільг. Виконання плану роботи відділу, Управління та плану роботи Головного управління з питань, що стосуються призначення/перерахунку житлових субсидій та пільг;</w:t>
            </w:r>
          </w:p>
          <w:p>
            <w:pPr>
              <w:pStyle w:val="Normal"/>
              <w:widowControl w:val="false"/>
              <w:suppressAutoHyphens w:val="true"/>
              <w:overflowPunct w:val="false"/>
              <w:bidi w:val="0"/>
              <w:spacing w:before="0" w:after="0"/>
              <w:ind w:left="0" w:right="170" w:firstLine="17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8) Забезпечення, в межах компетенції відділу, дотримання вимог Закону України “Про адміністративну процедуру”.</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sz w:val="26"/>
                <w:szCs w:val="26"/>
              </w:rPr>
            </w:pPr>
            <w:r>
              <w:rPr>
                <w:rFonts w:cs="Times New Roman"/>
                <w:sz w:val="26"/>
                <w:szCs w:val="26"/>
                <w:lang w:val="uk-UA"/>
              </w:rPr>
              <w:t>П</w:t>
            </w:r>
            <w:r>
              <w:rPr>
                <w:rFonts w:cs="Times New Roman"/>
                <w:sz w:val="26"/>
                <w:szCs w:val="26"/>
              </w:rPr>
              <w:t xml:space="preserve">осадовий оклад </w:t>
            </w:r>
            <w:r>
              <w:rPr>
                <w:rFonts w:eastAsia="Times New Roman" w:cs="Times New Roman"/>
                <w:sz w:val="26"/>
                <w:szCs w:val="26"/>
              </w:rPr>
              <w:t>‒</w:t>
            </w:r>
            <w:r>
              <w:rPr>
                <w:rFonts w:cs="Times New Roman"/>
                <w:sz w:val="26"/>
                <w:szCs w:val="26"/>
              </w:rPr>
              <w:t xml:space="preserve"> 15996,00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r>
              <w:rPr>
                <w:rFonts w:eastAsia="Times New Roman" w:cs="Times New Roman"/>
                <w:color w:val="00000A"/>
                <w:kern w:val="0"/>
                <w:sz w:val="26"/>
                <w:szCs w:val="26"/>
                <w:lang w:val="en-US" w:eastAsia="zh-CN" w:bidi="ar-SA"/>
              </w:rPr>
              <w:t>”</w:t>
            </w:r>
            <w:r>
              <w:rPr>
                <w:rFonts w:eastAsia="Times New Roman" w:cs="Times New Roman"/>
                <w:color w:val="00000A"/>
                <w:kern w:val="0"/>
                <w:sz w:val="26"/>
                <w:szCs w:val="26"/>
                <w:lang w:val="uk-UA" w:eastAsia="zh-CN" w:bidi="ar-SA"/>
              </w:rPr>
              <w:t>;</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Інформація про строковість чи безстроковість призначення на посаду</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57" w:right="113"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030"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pPr>
            <w:r>
              <w:rPr>
                <w:rFonts w:cs="Times New Roman"/>
                <w:bCs/>
                <w:sz w:val="26"/>
                <w:szCs w:val="26"/>
                <w:shd w:fill="auto" w:val="clear"/>
              </w:rPr>
              <w:t xml:space="preserve">Особа, яка бажає взяти участь у доборі, подає </w:t>
            </w:r>
            <w:r>
              <w:rPr>
                <w:rFonts w:eastAsia="Times New Roman" w:cs="Times New Roman"/>
                <w:bCs/>
                <w:color w:val="00000A"/>
                <w:kern w:val="0"/>
                <w:sz w:val="26"/>
                <w:szCs w:val="26"/>
                <w:shd w:fill="auto" w:val="clear"/>
                <w:lang w:val="uk-UA" w:eastAsia="zh-CN" w:bidi="ar-SA"/>
              </w:rPr>
              <w:t>Управлінню по роботі з персоналом</w:t>
            </w:r>
            <w:r>
              <w:rPr>
                <w:rFonts w:cs="Times New Roman"/>
                <w:bCs/>
                <w:sz w:val="26"/>
                <w:szCs w:val="26"/>
                <w:shd w:fill="auto" w:val="clear"/>
              </w:rPr>
              <w:t>:</w:t>
            </w:r>
          </w:p>
          <w:p>
            <w:pPr>
              <w:pStyle w:val="Style10"/>
              <w:widowControl w:val="false"/>
              <w:suppressAutoHyphens w:val="true"/>
              <w:bidi w:val="0"/>
              <w:spacing w:lineRule="auto" w:line="240" w:before="0" w:after="0"/>
              <w:ind w:left="0" w:right="57" w:firstLine="567"/>
              <w:jc w:val="both"/>
              <w:rPr/>
            </w:pPr>
            <w:r>
              <w:rPr>
                <w:rFonts w:cs="Times New Roman"/>
                <w:bCs/>
                <w:color w:val="000000"/>
                <w:sz w:val="26"/>
                <w:szCs w:val="26"/>
                <w:shd w:fill="auto" w:val="clear"/>
              </w:rPr>
              <w:t>заяв</w:t>
            </w:r>
            <w:r>
              <w:rPr>
                <w:rFonts w:eastAsia="Times New Roman" w:cs="Times New Roman"/>
                <w:bCs/>
                <w:color w:val="000000"/>
                <w:kern w:val="0"/>
                <w:sz w:val="26"/>
                <w:szCs w:val="26"/>
                <w:shd w:fill="auto" w:val="clear"/>
                <w:lang w:val="uk-UA" w:eastAsia="zh-CN" w:bidi="ar-SA"/>
              </w:rPr>
              <w:t>у;</w:t>
            </w:r>
          </w:p>
          <w:p>
            <w:pPr>
              <w:pStyle w:val="Style10"/>
              <w:widowControl w:val="false"/>
              <w:suppressAutoHyphens w:val="true"/>
              <w:bidi w:val="0"/>
              <w:spacing w:lineRule="auto" w:line="240" w:before="0" w:after="0"/>
              <w:ind w:left="57" w:right="57" w:firstLine="510"/>
              <w:jc w:val="both"/>
              <w:rPr/>
            </w:pPr>
            <w:r>
              <w:rPr>
                <w:rFonts w:cs="Times New Roman"/>
                <w:bCs/>
                <w:color w:val="000000"/>
                <w:sz w:val="26"/>
                <w:szCs w:val="26"/>
                <w:shd w:fill="auto" w:val="clear"/>
              </w:rPr>
              <w:t>заповнен</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особов</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картк</w:t>
            </w:r>
            <w:r>
              <w:rPr>
                <w:rFonts w:eastAsia="Times New Roman" w:cs="Times New Roman"/>
                <w:bCs/>
                <w:color w:val="000000"/>
                <w:kern w:val="0"/>
                <w:sz w:val="26"/>
                <w:szCs w:val="26"/>
                <w:shd w:fill="auto" w:val="clear"/>
                <w:lang w:val="uk-UA" w:eastAsia="zh-CN" w:bidi="ar-SA"/>
              </w:rPr>
              <w:t>у</w:t>
            </w:r>
            <w:r>
              <w:rPr>
                <w:rFonts w:cs="Times New Roman"/>
                <w:bCs/>
                <w:color w:val="000000"/>
                <w:sz w:val="26"/>
                <w:szCs w:val="26"/>
                <w:shd w:fill="auto"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pPr>
            <w:r>
              <w:rPr>
                <w:rFonts w:cs="Times New Roman"/>
                <w:bCs/>
                <w:color w:val="000000"/>
                <w:sz w:val="26"/>
                <w:szCs w:val="26"/>
                <w:shd w:fill="auto" w:val="clear"/>
              </w:rPr>
              <w:t>документ</w:t>
            </w:r>
            <w:r>
              <w:rPr>
                <w:rFonts w:eastAsia="Times New Roman" w:cs="Times New Roman"/>
                <w:bCs/>
                <w:color w:val="000000"/>
                <w:kern w:val="0"/>
                <w:sz w:val="26"/>
                <w:szCs w:val="26"/>
                <w:shd w:fill="auto" w:val="clear"/>
                <w:lang w:val="uk-UA" w:eastAsia="zh-CN" w:bidi="ar-SA"/>
              </w:rPr>
              <w:t>и</w:t>
            </w:r>
            <w:r>
              <w:rPr>
                <w:rFonts w:cs="Times New Roman"/>
                <w:bCs/>
                <w:color w:val="000000"/>
                <w:sz w:val="26"/>
                <w:szCs w:val="26"/>
                <w:shd w:fill="auto"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pPr>
            <w:r>
              <w:rPr>
                <w:rFonts w:eastAsia="Times New Roman" w:cs="Times New Roman"/>
                <w:b w:val="false"/>
                <w:bCs w:val="false"/>
                <w:color w:val="00000A"/>
                <w:kern w:val="0"/>
                <w:sz w:val="26"/>
                <w:szCs w:val="26"/>
                <w:shd w:fill="auto"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Style25"/>
              <w:widowControl w:val="false"/>
              <w:suppressAutoHyphens w:val="true"/>
              <w:bidi w:val="0"/>
              <w:spacing w:lineRule="auto" w:line="240" w:before="0" w:after="0"/>
              <w:ind w:left="0" w:right="57" w:firstLine="567"/>
              <w:jc w:val="both"/>
              <w:rPr/>
            </w:pPr>
            <w:r>
              <w:rPr>
                <w:rFonts w:eastAsia="Times New Roman" w:cs="Times New Roman"/>
                <w:bCs/>
                <w:color w:val="111111"/>
                <w:spacing w:val="-6"/>
                <w:kern w:val="0"/>
                <w:sz w:val="26"/>
                <w:szCs w:val="26"/>
                <w:shd w:fill="auto" w:val="clear"/>
                <w:lang w:val="uk-UA" w:eastAsia="zh-CN" w:bidi="ar-SA"/>
              </w:rPr>
              <w:t>Д</w:t>
            </w:r>
            <w:r>
              <w:rPr>
                <w:rFonts w:eastAsia="Times New Roman" w:cs="Times New Roman"/>
                <w:bCs/>
                <w:color w:val="111111"/>
                <w:sz w:val="26"/>
                <w:szCs w:val="26"/>
                <w:shd w:fill="auto" w:val="clear"/>
              </w:rPr>
              <w:t>окументи</w:t>
            </w:r>
            <w:r>
              <w:rPr>
                <w:rFonts w:cs="Times New Roman"/>
                <w:bCs/>
                <w:color w:val="111111"/>
                <w:sz w:val="26"/>
                <w:szCs w:val="26"/>
                <w:shd w:fill="auto" w:val="clear"/>
              </w:rPr>
              <w:t xml:space="preserve"> прийма</w:t>
            </w:r>
            <w:r>
              <w:rPr>
                <w:rFonts w:eastAsia="Times New Roman" w:cs="Times New Roman"/>
                <w:bCs/>
                <w:color w:val="111111"/>
                <w:sz w:val="26"/>
                <w:szCs w:val="26"/>
                <w:shd w:fill="auto" w:val="clear"/>
              </w:rPr>
              <w:t>ю</w:t>
            </w:r>
            <w:r>
              <w:rPr>
                <w:rFonts w:cs="Times New Roman"/>
                <w:bCs/>
                <w:color w:val="111111"/>
                <w:sz w:val="26"/>
                <w:szCs w:val="26"/>
                <w:shd w:fill="auto" w:val="clear"/>
              </w:rPr>
              <w:t xml:space="preserve">ться до </w:t>
            </w:r>
            <w:r>
              <w:rPr>
                <w:rFonts w:cs="Times New Roman"/>
                <w:bCs/>
                <w:color w:val="000000"/>
                <w:spacing w:val="-6"/>
                <w:sz w:val="26"/>
                <w:szCs w:val="26"/>
                <w:shd w:fill="auto" w:val="clear"/>
              </w:rPr>
              <w:t>17:00 год 11 червня 2025</w:t>
            </w:r>
            <w:r>
              <w:rPr>
                <w:rFonts w:cs="Times New Roman"/>
                <w:bCs/>
                <w:color w:val="FF4000"/>
                <w:spacing w:val="-6"/>
                <w:sz w:val="26"/>
                <w:szCs w:val="26"/>
                <w:shd w:fill="auto" w:val="clear"/>
              </w:rPr>
              <w:t xml:space="preserve"> </w:t>
            </w:r>
            <w:r>
              <w:rPr>
                <w:rFonts w:cs="Times New Roman"/>
                <w:bCs/>
                <w:color w:val="000000"/>
                <w:spacing w:val="-6"/>
                <w:sz w:val="26"/>
                <w:szCs w:val="26"/>
                <w:shd w:fill="auto" w:val="clear"/>
              </w:rPr>
              <w:t>року включно.</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pPr>
            <w:r>
              <w:rPr>
                <w:rFonts w:cs="Times New Roman"/>
                <w:b w:val="false"/>
                <w:bCs w:val="false"/>
                <w:color w:val="111111"/>
                <w:sz w:val="26"/>
                <w:szCs w:val="26"/>
                <w:shd w:fill="auto" w:val="clear"/>
              </w:rPr>
              <w:t>Співбесіда відбудеться 12</w:t>
            </w:r>
            <w:r>
              <w:rPr>
                <w:rFonts w:cs="Times New Roman"/>
                <w:b w:val="false"/>
                <w:bCs w:val="false"/>
                <w:color w:val="000000"/>
                <w:sz w:val="26"/>
                <w:szCs w:val="26"/>
                <w:shd w:fill="auto" w:val="clear"/>
              </w:rPr>
              <w:t xml:space="preserve"> червня 2025</w:t>
            </w:r>
            <w:r>
              <w:rPr>
                <w:rFonts w:cs="Times New Roman"/>
                <w:b w:val="false"/>
                <w:bCs w:val="false"/>
                <w:color w:val="111111"/>
                <w:sz w:val="26"/>
                <w:szCs w:val="26"/>
                <w:shd w:fill="auto" w:val="clear"/>
              </w:rPr>
              <w:t xml:space="preserve"> року</w:t>
            </w:r>
            <w:r>
              <w:rPr>
                <w:rFonts w:cs="Times New Roman"/>
                <w:color w:val="111111"/>
                <w:sz w:val="26"/>
                <w:szCs w:val="26"/>
                <w:shd w:fill="auto" w:val="clear"/>
              </w:rPr>
              <w:t xml:space="preserve"> за адресою: </w:t>
            </w:r>
            <w:r>
              <w:rPr>
                <w:rFonts w:eastAsia="Times New Roman" w:cs="Times New Roman"/>
                <w:color w:val="000000"/>
                <w:sz w:val="26"/>
                <w:szCs w:val="26"/>
                <w:shd w:fill="auto" w:val="clear"/>
                <w:lang w:val="uk-UA" w:eastAsia="zh-CN" w:bidi="ar-SA"/>
              </w:rPr>
              <w:t xml:space="preserve">м. Луцьк, Київський майдан, буд. 6 (проведення </w:t>
            </w:r>
            <w:r>
              <w:rPr>
                <w:rFonts w:eastAsia="Times New Roman" w:cs="Times New Roman"/>
                <w:color w:val="000000"/>
                <w:kern w:val="0"/>
                <w:sz w:val="26"/>
                <w:szCs w:val="26"/>
                <w:shd w:fill="auto" w:val="clear"/>
                <w:lang w:val="uk-UA" w:eastAsia="zh-CN" w:bidi="ar-SA"/>
              </w:rPr>
              <w:t>співбесіди</w:t>
            </w:r>
            <w:r>
              <w:rPr>
                <w:rFonts w:eastAsia="Times New Roman" w:cs="Times New Roman"/>
                <w:color w:val="000000"/>
                <w:sz w:val="26"/>
                <w:szCs w:val="26"/>
                <w:shd w:fill="auto" w:val="clear"/>
                <w:lang w:val="uk-UA" w:eastAsia="zh-CN" w:bidi="ar-SA"/>
              </w:rPr>
              <w:t xml:space="preserve"> за фізичної присутності кандидатів).</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lineRule="auto" w:line="240" w:before="0" w:after="0"/>
              <w:ind w:left="113" w:right="170" w:firstLine="510"/>
              <w:jc w:val="both"/>
              <w:rPr/>
            </w:pPr>
            <w:r>
              <w:rPr>
                <w:rFonts w:eastAsia="Times New Roman" w:cs="Times New Roman"/>
                <w:color w:val="00000A"/>
                <w:kern w:val="0"/>
                <w:sz w:val="26"/>
                <w:szCs w:val="26"/>
                <w:lang w:val="uk-UA" w:eastAsia="zh-CN" w:bidi="ar-SA"/>
              </w:rPr>
              <w:t>Левчук Володимир Михайлович,</w:t>
            </w:r>
          </w:p>
          <w:p>
            <w:pPr>
              <w:pStyle w:val="Normal"/>
              <w:widowControl w:val="false"/>
              <w:suppressAutoHyphens w:val="true"/>
              <w:overflowPunct w:val="false"/>
              <w:bidi w:val="0"/>
              <w:spacing w:lineRule="auto" w:line="240" w:before="0" w:after="0"/>
              <w:ind w:left="113" w:right="170" w:firstLine="454"/>
              <w:jc w:val="both"/>
              <w:rPr>
                <w:rFonts w:ascii="Times New Roman" w:hAnsi="Times New Roman"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 xml:space="preserve"> </w:t>
            </w:r>
            <w:r>
              <w:rPr>
                <w:rFonts w:eastAsia="Times New Roman" w:cs="Times New Roman"/>
                <w:color w:val="00000A"/>
                <w:kern w:val="0"/>
                <w:sz w:val="26"/>
                <w:szCs w:val="26"/>
                <w:lang w:val="uk-UA" w:eastAsia="zh-CN" w:bidi="ar-SA"/>
              </w:rPr>
              <w:t>Козицька Галина Стефанівна</w:t>
            </w:r>
          </w:p>
          <w:p>
            <w:pPr>
              <w:pStyle w:val="Normal"/>
              <w:widowControl w:val="false"/>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28-10-35</w:t>
            </w:r>
          </w:p>
          <w:p>
            <w:pPr>
              <w:pStyle w:val="Normal"/>
              <w:widowControl w:val="false"/>
              <w:suppressAutoHyphens w:val="true"/>
              <w:bidi w:val="0"/>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28-10-62</w:t>
            </w:r>
          </w:p>
          <w:p>
            <w:pPr>
              <w:pStyle w:val="Normal"/>
              <w:widowControl w:val="false"/>
              <w:spacing w:lineRule="auto" w:line="240" w:before="0" w:after="0"/>
              <w:ind w:left="0" w:right="0" w:hanging="0"/>
              <w:jc w:val="both"/>
              <w:rPr/>
            </w:pPr>
            <w:r>
              <w:rPr>
                <w:rFonts w:eastAsia="Times New Roman" w:cs="Times New Roman"/>
                <w:color w:val="000000"/>
                <w:kern w:val="0"/>
                <w:sz w:val="26"/>
                <w:szCs w:val="26"/>
                <w:shd w:fill="FFFFFF" w:val="clear"/>
                <w:lang w:val="en-US" w:eastAsia="zh-CN" w:bidi="ar-SA"/>
              </w:rPr>
              <w:t xml:space="preserve">E-mail: </w:t>
            </w:r>
            <w:hyperlink r:id="rId2">
              <w:r>
                <w:rPr>
                  <w:rStyle w:val="Style7"/>
                  <w:rFonts w:eastAsia="Times New Roman" w:cs="Times New Roman"/>
                  <w:kern w:val="0"/>
                  <w:sz w:val="26"/>
                  <w:szCs w:val="26"/>
                  <w:highlight w:val="white"/>
                  <w:lang w:val="en-US"/>
                </w:rPr>
                <w:t>personal@vl.pfu.gov.ua</w:t>
              </w:r>
            </w:hyperlink>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b w:val="false"/>
                <w:b w:val="false"/>
                <w:bCs w:val="false"/>
                <w:sz w:val="26"/>
                <w:szCs w:val="26"/>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1073"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pPr>
            <w:r>
              <w:rPr>
                <w:rStyle w:val="CharStyle7"/>
                <w:sz w:val="26"/>
                <w:szCs w:val="26"/>
              </w:rPr>
              <w:t>Вища освіта за освітнім ступенем не нижче бакалавра, молодшого бакалавра.</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bidi w:val="0"/>
              <w:ind w:left="0" w:right="0" w:firstLine="283"/>
              <w:jc w:val="both"/>
              <w:rPr>
                <w:sz w:val="26"/>
                <w:szCs w:val="26"/>
              </w:rPr>
            </w:pPr>
            <w:r>
              <w:rPr>
                <w:rFonts w:eastAsia="Times New Roman" w:cs="Times New Roman"/>
                <w:b w:val="false"/>
                <w:i w:val="false"/>
                <w:caps w:val="false"/>
                <w:smallCaps w:val="false"/>
                <w:color w:val="00000A"/>
                <w:spacing w:val="0"/>
                <w:kern w:val="0"/>
                <w:sz w:val="26"/>
                <w:szCs w:val="26"/>
                <w:lang w:val="uk-UA" w:eastAsia="zh-CN" w:bidi="ar-SA"/>
              </w:rPr>
              <w:t>Без вимог до досвіду роботи.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030" w:type="dxa"/>
            <w:tcBorders>
              <w:left w:val="single" w:sz="2" w:space="0" w:color="000000"/>
              <w:bottom w:val="single" w:sz="2" w:space="0" w:color="000000"/>
              <w:right w:val="single" w:sz="2" w:space="0" w:color="000000"/>
            </w:tcBorders>
            <w:shd w:fill="auto" w:val="clear"/>
          </w:tcPr>
          <w:p>
            <w:pPr>
              <w:pStyle w:val="Rvps14"/>
              <w:widowControl w:val="false"/>
              <w:suppressAutoHyphens w:val="true"/>
              <w:overflowPunct w:val="false"/>
              <w:bidi w:val="0"/>
              <w:spacing w:lineRule="atLeast" w:line="100" w:before="150" w:after="150"/>
              <w:ind w:left="57" w:right="227" w:firstLine="227"/>
              <w:jc w:val="left"/>
              <w:textAlignment w:val="baseline"/>
              <w:rPr>
                <w:rFonts w:cs="Times New Roman"/>
                <w:sz w:val="26"/>
                <w:szCs w:val="26"/>
              </w:rPr>
            </w:pPr>
            <w:r>
              <w:rPr>
                <w:rFonts w:cs="Times New Roman"/>
                <w:sz w:val="26"/>
                <w:szCs w:val="26"/>
              </w:rPr>
              <w:t>Вільне володіння державною мовою.</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Вимоги до компетентності</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до чіткого бачення результату діяльності;</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bidi w:val="0"/>
              <w:spacing w:before="0" w:after="0"/>
              <w:ind w:left="-57" w:right="57" w:firstLine="624"/>
              <w:jc w:val="both"/>
              <w:rPr>
                <w:sz w:val="26"/>
                <w:szCs w:val="26"/>
              </w:rPr>
            </w:pPr>
            <w:r>
              <w:rPr>
                <w:sz w:val="26"/>
                <w:szCs w:val="26"/>
              </w:rPr>
              <w:t>вміння запобігати та ефективно долати перешкоди.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bidi w:val="0"/>
              <w:spacing w:before="0" w:after="0"/>
              <w:ind w:left="0" w:right="57" w:firstLine="510"/>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2"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030"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уникати небезпек у цифровому середовищі, захищати особисті та конфіденційні дані;</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Професійні знання</w:t>
            </w:r>
          </w:p>
        </w:tc>
      </w:tr>
      <w:tr>
        <w:trPr/>
        <w:tc>
          <w:tcPr>
            <w:tcW w:w="3615"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rHeight w:val="1299"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2"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lineRule="exact" w:line="283" w:before="0" w:after="0"/>
              <w:ind w:left="-57" w:right="57" w:firstLine="624"/>
              <w:jc w:val="both"/>
              <w:rPr/>
            </w:pPr>
            <w:r>
              <w:rPr>
                <w:sz w:val="26"/>
                <w:szCs w:val="26"/>
              </w:rPr>
              <w:t>Конституції України від 28 червня 1996 року;</w:t>
            </w:r>
          </w:p>
          <w:p>
            <w:pPr>
              <w:pStyle w:val="Normal"/>
              <w:widowControl w:val="false"/>
              <w:suppressAutoHyphens w:val="true"/>
              <w:overflowPunct w:val="false"/>
              <w:bidi w:val="0"/>
              <w:spacing w:lineRule="exact" w:line="283" w:before="0" w:after="0"/>
              <w:ind w:left="0" w:right="57" w:firstLine="567"/>
              <w:jc w:val="both"/>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false"/>
              <w:bidi w:val="0"/>
              <w:spacing w:lineRule="exact" w:line="283" w:before="0" w:after="0"/>
              <w:ind w:left="0" w:right="57" w:firstLine="567"/>
              <w:jc w:val="both"/>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false"/>
              <w:bidi w:val="0"/>
              <w:spacing w:lineRule="exact" w:line="283" w:before="0" w:after="0"/>
              <w:ind w:left="57" w:right="57" w:firstLine="510"/>
              <w:jc w:val="both"/>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false"/>
              <w:bidi w:val="0"/>
              <w:spacing w:lineRule="exact" w:line="283" w:before="0" w:after="0"/>
              <w:ind w:left="0" w:right="57" w:firstLine="624"/>
              <w:jc w:val="both"/>
              <w:rPr/>
            </w:pPr>
            <w:r>
              <w:rPr>
                <w:sz w:val="26"/>
                <w:szCs w:val="26"/>
              </w:rPr>
              <w:t>Закону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2"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030" w:type="dxa"/>
            <w:tcBorders>
              <w:left w:val="single" w:sz="2" w:space="0" w:color="000000"/>
              <w:bottom w:val="single" w:sz="2" w:space="0" w:color="000000"/>
              <w:right w:val="single" w:sz="2" w:space="0" w:color="000000"/>
            </w:tcBorders>
            <w:shd w:fill="auto" w:val="clear"/>
          </w:tcPr>
          <w:p>
            <w:pPr>
              <w:pStyle w:val="Normal"/>
              <w:widowControl w:val="false"/>
              <w:spacing w:lineRule="exact" w:line="283"/>
              <w:ind w:left="0" w:right="57" w:firstLine="567"/>
              <w:jc w:val="both"/>
              <w:rPr>
                <w:highlight w:val="none"/>
                <w:shd w:fill="auto" w:val="clear"/>
              </w:rPr>
            </w:pPr>
            <w:bookmarkStart w:id="0" w:name="Про_спрощення_порядку_надання_населенню_"/>
            <w:bookmarkEnd w:id="0"/>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 від 09 липня 2003 року № 1058-</w:t>
            </w:r>
            <w:r>
              <w:rPr>
                <w:b w:val="false"/>
                <w:bCs w:val="false"/>
                <w:sz w:val="26"/>
                <w:szCs w:val="26"/>
                <w:shd w:fill="auto" w:val="clear"/>
                <w:lang w:val="en-US"/>
              </w:rPr>
              <w:t>VI</w:t>
            </w:r>
            <w:r>
              <w:rPr>
                <w:b w:val="false"/>
                <w:bCs w:val="false"/>
                <w:sz w:val="26"/>
                <w:szCs w:val="26"/>
                <w:shd w:fill="auto" w:val="clear"/>
              </w:rPr>
              <w:t>;</w:t>
            </w:r>
            <w:bookmarkStart w:id="1" w:name="__DdeLink__950_1541986854"/>
          </w:p>
          <w:p>
            <w:pPr>
              <w:pStyle w:val="Normal"/>
              <w:widowControl w:val="false"/>
              <w:spacing w:lineRule="exact" w:line="283"/>
              <w:ind w:left="0" w:right="57" w:firstLine="567"/>
              <w:jc w:val="both"/>
              <w:rPr>
                <w:highlight w:val="none"/>
                <w:shd w:fill="auto" w:val="clear"/>
              </w:rPr>
            </w:pPr>
            <w:r>
              <w:rPr>
                <w:b w:val="false"/>
                <w:bCs w:val="false"/>
                <w:sz w:val="26"/>
                <w:szCs w:val="26"/>
                <w:shd w:fill="auto" w:val="clear"/>
              </w:rPr>
              <w:t xml:space="preserve">Закону України “Про забезпечення осіб, звільнених з військової служби, та деяких інших осіб”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 xml:space="preserve">XII;  </w:t>
            </w:r>
          </w:p>
          <w:p>
            <w:pPr>
              <w:pStyle w:val="Normal"/>
              <w:widowControl w:val="false"/>
              <w:spacing w:lineRule="exact" w:line="283"/>
              <w:ind w:left="57" w:right="57" w:firstLine="510"/>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загальнообов’язкове державне соціальне страхування” від 23 вересня 1999 року № 1105-</w:t>
            </w:r>
            <w:r>
              <w:rPr>
                <w:b w:val="false"/>
                <w:bCs w:val="false"/>
                <w:i w:val="false"/>
                <w:caps w:val="false"/>
                <w:smallCaps w:val="false"/>
                <w:color w:val="000000"/>
                <w:spacing w:val="0"/>
                <w:sz w:val="26"/>
                <w:szCs w:val="26"/>
                <w:shd w:fill="auto" w:val="clear"/>
                <w:lang w:val="en-US"/>
              </w:rPr>
              <w:t>XIV;</w:t>
            </w:r>
          </w:p>
          <w:p>
            <w:pPr>
              <w:pStyle w:val="Normal"/>
              <w:widowControl w:val="false"/>
              <w:spacing w:lineRule="exact" w:line="283"/>
              <w:ind w:left="0" w:right="0" w:firstLine="624"/>
              <w:jc w:val="both"/>
              <w:rPr>
                <w:highlight w:val="none"/>
                <w:shd w:fill="auto" w:val="clear"/>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 xml:space="preserve"> 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796-XII;</w:t>
            </w:r>
          </w:p>
          <w:p>
            <w:pPr>
              <w:pStyle w:val="Normal"/>
              <w:widowControl w:val="false"/>
              <w:spacing w:lineRule="exact" w:line="283"/>
              <w:ind w:left="-57" w:right="57" w:firstLine="567"/>
              <w:jc w:val="both"/>
              <w:rPr>
                <w:highlight w:val="none"/>
                <w:shd w:fill="auto" w:val="clear"/>
              </w:rPr>
            </w:pPr>
            <w:r>
              <w:rPr>
                <w:b w:val="false"/>
                <w:bCs w:val="false"/>
                <w:i w:val="false"/>
                <w:caps w:val="false"/>
                <w:smallCaps w:val="false"/>
                <w:color w:val="000000"/>
                <w:spacing w:val="0"/>
                <w:sz w:val="26"/>
                <w:szCs w:val="26"/>
                <w:shd w:fill="auto" w:val="clear"/>
              </w:rPr>
              <w:t>Закону України “Про статус ветеранів війни, гарантії їх соціального захисту” від 22 жовтня 1993 року № 3551-</w:t>
            </w:r>
            <w:r>
              <w:rPr>
                <w:b w:val="false"/>
                <w:bCs w:val="false"/>
                <w:i w:val="false"/>
                <w:caps w:val="false"/>
                <w:smallCaps w:val="false"/>
                <w:color w:val="000000"/>
                <w:spacing w:val="0"/>
                <w:sz w:val="26"/>
                <w:szCs w:val="26"/>
                <w:shd w:fill="auto" w:val="clear"/>
                <w:lang w:val="en-US"/>
              </w:rPr>
              <w:t>XII</w:t>
            </w:r>
            <w:r>
              <w:rPr>
                <w:b w:val="false"/>
                <w:bCs w:val="false"/>
                <w:i w:val="false"/>
                <w:caps w:val="false"/>
                <w:smallCaps w:val="false"/>
                <w:color w:val="000000"/>
                <w:spacing w:val="0"/>
                <w:sz w:val="26"/>
                <w:szCs w:val="26"/>
                <w:shd w:fill="auto" w:val="clear"/>
              </w:rPr>
              <w:t>;</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 від 21 жовтня 1995 року № 848;</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 xml:space="preserve">Постанови </w:t>
            </w:r>
            <w:bookmarkStart w:id="2" w:name="__DdeLink__308_85527290"/>
            <w:r>
              <w:rPr>
                <w:b w:val="false"/>
                <w:bCs w:val="false"/>
                <w:i w:val="false"/>
                <w:caps w:val="false"/>
                <w:smallCaps w:val="false"/>
                <w:color w:val="000000"/>
                <w:spacing w:val="0"/>
                <w:sz w:val="26"/>
                <w:szCs w:val="26"/>
                <w:shd w:fill="auto" w:val="clear"/>
              </w:rPr>
              <w:t>Кабінету Міністрів України</w:t>
            </w:r>
            <w:bookmarkEnd w:id="2"/>
            <w:r>
              <w:rPr>
                <w:b w:val="false"/>
                <w:bCs w:val="false"/>
                <w:i w:val="false"/>
                <w:caps w:val="false"/>
                <w:smallCaps w:val="false"/>
                <w:color w:val="000000"/>
                <w:spacing w:val="0"/>
                <w:sz w:val="26"/>
                <w:szCs w:val="26"/>
                <w:shd w:fill="auto" w:val="clear"/>
              </w:rPr>
              <w:t xml:space="preserve"> “Деякі питання надання житлових субсидій та пільг на оплату житлово-комунальних послуг, придбання твердого палива і скрапленого газу у грошовій формі” від 17 квітня 2019 року № 373;</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Порядку надання пільг окремим категоріям громадян з урахуванням середньомісячного сукупного доходу сім’ї” від 04 червня 2015 року № 389;</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Положення про Пенсійний фонд України” від 23 липня 2014 року № 280;</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“Про Єдиний державний автоматизований реєстр осіб, які мають право на пільги” від 29 січня 2003 року № 117;</w:t>
            </w:r>
          </w:p>
          <w:p>
            <w:pPr>
              <w:pStyle w:val="Normal"/>
              <w:widowControl w:val="false"/>
              <w:spacing w:lineRule="exact" w:line="283"/>
              <w:ind w:left="0" w:right="0"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Кабінету Міністрів України “Деякі питання соціального захисту осіб, які мають особливі та особливі трудові заслуги перед Батьківщиною, ветеранів війни та осіб, що працюють в спеціальних умовах” від 27 грудня 2023 року № 1396;</w:t>
            </w:r>
          </w:p>
          <w:p>
            <w:pPr>
              <w:pStyle w:val="Normal"/>
              <w:widowControl w:val="false"/>
              <w:spacing w:lineRule="exact" w:line="283"/>
              <w:ind w:left="0" w:right="57" w:firstLine="567"/>
              <w:jc w:val="both"/>
              <w:rPr>
                <w:highlight w:val="none"/>
                <w:shd w:fill="auto" w:val="clear"/>
              </w:rPr>
            </w:pPr>
            <w:r>
              <w:rPr>
                <w:b w:val="false"/>
                <w:bCs w:val="false"/>
                <w:i w:val="false"/>
                <w:caps w:val="false"/>
                <w:smallCaps w:val="false"/>
                <w:color w:val="000000"/>
                <w:spacing w:val="0"/>
                <w:sz w:val="26"/>
                <w:szCs w:val="26"/>
                <w:shd w:fill="auto" w:val="clear"/>
              </w:rPr>
              <w:t>Постанови правління Пенсійного фонду України “Про організацію прийому та обслуговування осіб, які звертаються до органів Пенсійного фонду України” від 30 липня 2015 року № 13-1.</w:t>
            </w:r>
            <w:bookmarkEnd w:id="1"/>
          </w:p>
        </w:tc>
      </w:tr>
    </w:tbl>
    <w:p>
      <w:pPr>
        <w:pStyle w:val="Normal"/>
        <w:suppressAutoHyphens w:val="false"/>
        <w:snapToGrid w:val="false"/>
        <w:jc w:val="center"/>
        <w:rPr/>
      </w:pPr>
      <w:r>
        <w:rPr/>
      </w:r>
    </w:p>
    <w:p>
      <w:pPr>
        <w:pStyle w:val="Normal"/>
        <w:suppressAutoHyphens w:val="false"/>
        <w:snapToGrid w:val="false"/>
        <w:jc w:val="center"/>
        <w:rPr/>
      </w:pPr>
      <w:r>
        <w:rPr/>
        <w:t>______________________________</w:t>
      </w:r>
    </w:p>
    <w:sectPr>
      <w:headerReference w:type="default" r:id="rId3"/>
      <w:headerReference w:type="first" r:id="rId4"/>
      <w:type w:val="nextPage"/>
      <w:pgSz w:w="11906" w:h="16838"/>
      <w:pgMar w:left="1701" w:right="567" w:gutter="0" w:header="1134" w:top="1716" w:footer="0" w:bottom="1134"/>
      <w:pgNumType w:fmt="decimal"/>
      <w:formProt w:val="false"/>
      <w:titlePg/>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right"/>
      <w:rPr/>
    </w:pPr>
    <w:r>
      <w:rPr>
        <w:sz w:val="26"/>
        <w:szCs w:val="26"/>
      </w:rPr>
      <w:fldChar w:fldCharType="begin"/>
    </w:r>
    <w:r>
      <w:rPr>
        <w:sz w:val="26"/>
        <w:szCs w:val="26"/>
      </w:rPr>
      <w:instrText xml:space="preserve"> PAGE </w:instrText>
    </w:r>
    <w:r>
      <w:rPr>
        <w:sz w:val="26"/>
        <w:szCs w:val="26"/>
      </w:rPr>
      <w:fldChar w:fldCharType="separate"/>
    </w:r>
    <w:r>
      <w:rPr>
        <w:sz w:val="26"/>
        <w:szCs w:val="26"/>
      </w:rPr>
      <w:t>5</w:t>
    </w:r>
    <w:r>
      <w:rPr>
        <w:sz w:val="26"/>
        <w:szCs w:val="26"/>
      </w:rPr>
      <w:fldChar w:fldCharType="end"/>
    </w:r>
    <w:r>
      <w:rPr>
        <w:sz w:val="26"/>
        <w:szCs w:val="26"/>
      </w:rPr>
      <w:t xml:space="preserve">                                        </w:t>
    </w:r>
    <w:r>
      <w:rPr>
        <w:sz w:val="26"/>
        <w:szCs w:val="26"/>
      </w:rPr>
      <w:t>Продовження додатка</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qFormat/>
    <w:pPr>
      <w:keepNext w:val="true"/>
      <w:outlineLvl w:val="0"/>
    </w:pPr>
    <w:rPr>
      <w:b/>
      <w:sz w:val="28"/>
    </w:rPr>
  </w:style>
  <w:style w:type="paragraph" w:styleId="2">
    <w:name w:val="Heading 2"/>
    <w:basedOn w:val="Normal"/>
    <w:next w:val="Normal"/>
    <w:qFormat/>
    <w:pPr>
      <w:keepNext w:val="true"/>
      <w:jc w:val="center"/>
      <w:outlineLvl w:val="1"/>
    </w:pPr>
    <w:rPr>
      <w:b/>
      <w:sz w:val="32"/>
      <w:lang w:val="ru-RU"/>
    </w:rPr>
  </w:style>
  <w:style w:type="paragraph" w:styleId="3">
    <w:name w:val="Heading 3"/>
    <w:basedOn w:val="Normal"/>
    <w:next w:val="Normal"/>
    <w:qFormat/>
    <w:pPr>
      <w:keepNext w:val="true"/>
      <w:spacing w:lineRule="atLeast" w:line="240"/>
      <w:outlineLvl w:val="2"/>
    </w:pPr>
    <w:rPr>
      <w:sz w:val="28"/>
    </w:rPr>
  </w:style>
  <w:style w:type="paragraph" w:styleId="4">
    <w:name w:val="Heading 4"/>
    <w:basedOn w:val="Normal"/>
    <w:next w:val="Normal"/>
    <w:qFormat/>
    <w:pPr>
      <w:keepNext w:val="true"/>
      <w:spacing w:lineRule="atLeast" w:line="240"/>
      <w:ind w:left="0" w:right="3712" w:hanging="0"/>
      <w:outlineLvl w:val="3"/>
    </w:pPr>
    <w:rPr>
      <w:b/>
      <w:sz w:val="28"/>
    </w:rPr>
  </w:style>
  <w:style w:type="paragraph" w:styleId="5">
    <w:name w:val="Heading 5"/>
    <w:basedOn w:val="Normal"/>
    <w:next w:val="Normal"/>
    <w:qFormat/>
    <w:pPr>
      <w:keepNext w:val="true"/>
      <w:jc w:val="right"/>
      <w:outlineLvl w:val="4"/>
    </w:pPr>
    <w:rPr>
      <w:sz w:val="24"/>
      <w:lang w:val="en-US"/>
    </w:rPr>
  </w:style>
  <w:style w:type="paragraph" w:styleId="6">
    <w:name w:val="Heading 6"/>
    <w:basedOn w:val="Style9"/>
    <w:qFormat/>
    <w:pPr>
      <w:outlineLvl w:val="5"/>
    </w:pPr>
    <w:rPr>
      <w:b/>
      <w:bCs/>
      <w:sz w:val="21"/>
      <w:szCs w:val="21"/>
    </w:rPr>
  </w:style>
  <w:style w:type="paragraph" w:styleId="7">
    <w:name w:val="Heading 7"/>
    <w:basedOn w:val="Style9"/>
    <w:qFormat/>
    <w:pPr>
      <w:outlineLvl w:val="6"/>
    </w:pPr>
    <w:rPr>
      <w:b/>
      <w:bCs/>
      <w:sz w:val="21"/>
      <w:szCs w:val="21"/>
    </w:rPr>
  </w:style>
  <w:style w:type="paragraph" w:styleId="8">
    <w:name w:val="Heading 8"/>
    <w:basedOn w:val="Style9"/>
    <w:qFormat/>
    <w:pPr>
      <w:outlineLvl w:val="7"/>
    </w:pPr>
    <w:rPr>
      <w:b/>
      <w:bCs/>
      <w:sz w:val="21"/>
      <w:szCs w:val="21"/>
    </w:rPr>
  </w:style>
  <w:style w:type="paragraph" w:styleId="9">
    <w:name w:val="Heading 9"/>
    <w:basedOn w:val="Style9"/>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basedOn w:val="DefaultParagraphFont"/>
    <w:qFormat/>
    <w:rPr>
      <w:rFonts w:eastAsia="Times New Roman"/>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fals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31">
    <w:name w:val="Название3"/>
    <w:basedOn w:val="Normal"/>
    <w:qFormat/>
    <w:pPr>
      <w:spacing w:before="120" w:after="120"/>
    </w:pPr>
    <w:rPr>
      <w:rFonts w:cs="Mangal"/>
      <w:i/>
      <w:iCs/>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Style31">
    <w:name w:val="Содержимое фрейма"/>
    <w:qFormat/>
    <w:pPr>
      <w:widowControl/>
      <w:suppressAutoHyphens w:val="true"/>
      <w:overflowPunct w:val="fals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Style32">
    <w:name w:val="Вміст рам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2187</TotalTime>
  <Application>LibreOffice/7.4.3.2$Windows_X86_64 LibreOffice_project/1048a8393ae2eeec98dff31b5c133c5f1d08b890</Application>
  <AppVersion>15.0000</AppVersion>
  <Pages>5</Pages>
  <Words>1111</Words>
  <Characters>7522</Characters>
  <CharactersWithSpaces>8581</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2025-06-04T11:26:21Z</dcterms:modified>
  <cp:revision>356</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