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___________№___________</w:t>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pP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категорії “В” </w:t>
      </w:r>
      <w:r>
        <w:rPr>
          <w:rFonts w:eastAsia="Times New Roman" w:cs="Times New Roman"/>
          <w:b w:val="false"/>
          <w:bCs w:val="false"/>
          <w:color w:val="000000"/>
          <w:sz w:val="26"/>
          <w:szCs w:val="26"/>
          <w:lang w:val="uk-UA" w:eastAsia="zh-CN" w:bidi="ar-SA"/>
        </w:rPr>
        <w:t>‒</w:t>
      </w:r>
      <w:r>
        <w:rPr>
          <w:b w:val="false"/>
          <w:bCs w:val="false"/>
          <w:color w:val="000000"/>
          <w:sz w:val="26"/>
          <w:szCs w:val="26"/>
          <w:lang w:val="uk-UA" w:eastAsia="zh-CN" w:bidi="ar-SA"/>
        </w:rPr>
        <w:t xml:space="preserve"> провідного спеціаліста відділу контрольно-перевірочної роботи № 1 Управління контрольно-перевірочної роботи</w:t>
      </w:r>
    </w:p>
    <w:p>
      <w:pPr>
        <w:pStyle w:val="Normal"/>
        <w:suppressAutoHyphens w:val="true"/>
        <w:snapToGrid w:val="false"/>
        <w:jc w:val="center"/>
        <w:rPr>
          <w:b w:val="false"/>
          <w:b w:val="false"/>
          <w:bCs w:val="false"/>
          <w:color w:val="000000"/>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pPr>
      <w:r>
        <w:rPr>
          <w:b w:val="false"/>
          <w:bCs w:val="false"/>
          <w:color w:val="000000"/>
          <w:sz w:val="26"/>
          <w:szCs w:val="26"/>
        </w:rPr>
        <w:t>(класифікаційний код посади 7</w:t>
      </w:r>
      <w:r>
        <w:rPr>
          <w:rFonts w:eastAsia="NSimSun" w:cs="Times New Roman"/>
          <w:b w:val="false"/>
          <w:bCs w:val="false"/>
          <w:i w:val="false"/>
          <w:caps w:val="false"/>
          <w:smallCaps w:val="false"/>
          <w:color w:val="000000"/>
          <w:spacing w:val="0"/>
          <w:kern w:val="2"/>
          <w:sz w:val="26"/>
          <w:szCs w:val="26"/>
          <w:shd w:fill="auto" w:val="clear"/>
          <w:lang w:val="en-US" w:eastAsia="zh-CN" w:bidi="hi-IN"/>
        </w:rPr>
        <w:t>-</w:t>
      </w:r>
      <w:r>
        <w:rPr>
          <w:rFonts w:eastAsia="NSimSun" w:cs="Times New Roman"/>
          <w:b w:val="false"/>
          <w:bCs w:val="false"/>
          <w:i w:val="false"/>
          <w:caps w:val="false"/>
          <w:smallCaps w:val="false"/>
          <w:color w:val="000000"/>
          <w:spacing w:val="0"/>
          <w:kern w:val="2"/>
          <w:sz w:val="26"/>
          <w:szCs w:val="26"/>
          <w:shd w:fill="auto" w:val="clear"/>
          <w:lang w:val="uk-UA" w:eastAsia="zh-CN" w:bidi="hi-IN"/>
        </w:rPr>
        <w:t>VІІI</w:t>
      </w:r>
      <w:r>
        <w:rPr>
          <w:rFonts w:eastAsia="NSimSun" w:cs="Times New Roman"/>
          <w:b w:val="false"/>
          <w:bCs w:val="false"/>
          <w:i w:val="false"/>
          <w:caps w:val="false"/>
          <w:smallCaps w:val="false"/>
          <w:color w:val="000000"/>
          <w:spacing w:val="0"/>
          <w:kern w:val="2"/>
          <w:sz w:val="26"/>
          <w:szCs w:val="26"/>
          <w:shd w:fill="auto" w:val="clear"/>
          <w:lang w:val="en-US" w:eastAsia="zh-CN" w:bidi="hi-IN"/>
        </w:rPr>
        <w:t>-2</w:t>
      </w:r>
      <w:r>
        <w:rPr>
          <w:rFonts w:eastAsia="NSimSun" w:cs="Times New Roman"/>
          <w:b w:val="false"/>
          <w:bCs w:val="false"/>
          <w:color w:val="000000"/>
          <w:kern w:val="2"/>
          <w:sz w:val="26"/>
          <w:szCs w:val="26"/>
          <w:shd w:fill="auto" w:val="clear"/>
          <w:lang w:val="uk-UA" w:eastAsia="zh-CN" w:bidi="hi-IN"/>
        </w:rPr>
        <w:t>,</w:t>
      </w:r>
      <w:r>
        <w:rPr>
          <w:b w:val="false"/>
          <w:bCs w:val="false"/>
          <w:color w:val="000000"/>
          <w:sz w:val="26"/>
          <w:szCs w:val="26"/>
          <w:lang w:val="uk-UA"/>
        </w:rPr>
        <w:t xml:space="preserve"> м. Луцьк</w:t>
      </w:r>
      <w:r>
        <w:rPr>
          <w:rFonts w:eastAsia="Times New Roman" w:cs="Times New Roman"/>
          <w:b w:val="false"/>
          <w:bCs w:val="false"/>
          <w:color w:val="000000"/>
          <w:sz w:val="26"/>
          <w:szCs w:val="26"/>
        </w:rPr>
        <w:t>, вул. Кравчука</w:t>
      </w:r>
      <w:r>
        <w:rPr>
          <w:rFonts w:eastAsia="Times New Roman" w:cs="Times New Roman"/>
          <w:b w:val="false"/>
          <w:bCs w:val="false"/>
          <w:color w:val="000000"/>
          <w:sz w:val="26"/>
          <w:szCs w:val="26"/>
          <w:shd w:fill="auto" w:val="clear"/>
        </w:rPr>
        <w:t>, буд. 22 В</w:t>
      </w:r>
      <w:r>
        <w:rPr>
          <w:b w:val="false"/>
          <w:bCs w:val="false"/>
          <w:color w:val="000000"/>
          <w:sz w:val="26"/>
          <w:szCs w:val="26"/>
          <w:shd w:fill="auto" w:val="clear"/>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645" w:type="dxa"/>
        <w:jc w:val="left"/>
        <w:tblInd w:w="-57" w:type="dxa"/>
        <w:tblLayout w:type="fixed"/>
        <w:tblCellMar>
          <w:top w:w="55" w:type="dxa"/>
          <w:left w:w="55" w:type="dxa"/>
          <w:bottom w:w="55" w:type="dxa"/>
          <w:right w:w="55" w:type="dxa"/>
        </w:tblCellMar>
      </w:tblPr>
      <w:tblGrid>
        <w:gridCol w:w="543"/>
        <w:gridCol w:w="3072"/>
        <w:gridCol w:w="6030"/>
      </w:tblGrid>
      <w:tr>
        <w:trPr/>
        <w:tc>
          <w:tcPr>
            <w:tcW w:w="9645" w:type="dxa"/>
            <w:gridSpan w:val="3"/>
            <w:tcBorders>
              <w:top w:val="single" w:sz="2" w:space="0" w:color="000000"/>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Загальні умови</w:t>
            </w:r>
          </w:p>
        </w:tc>
      </w:tr>
      <w:tr>
        <w:trPr>
          <w:trHeight w:val="5886" w:hRule="atLeast"/>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Посадові обов’язки</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1) Здійснення заходів контролю щодо правильності нарахування, обчислення, повноти і своєчасності сплати страхових та інших платежів, контролю за нарахуванням та сплатою яких покладено на Фонд, правильності сплати збору на загальнообов'язкове державне пенсійне страхування з окремих видів господарських операцій, обґрунтованості видачі документів для оформлення пенсій та достовірністю поданих відомостей про осіб, які підлягають загальнообов'язковому пенсійному страхуванню</w:t>
            </w:r>
            <w:r>
              <w:rPr>
                <w:b w:val="false"/>
                <w:i w:val="false"/>
                <w:strike w:val="false"/>
                <w:dstrike w:val="false"/>
                <w:outline w:val="false"/>
                <w:shadow w:val="false"/>
                <w:color w:val="auto"/>
                <w:sz w:val="26"/>
                <w:szCs w:val="26"/>
                <w:u w:val="none"/>
                <w:em w:val="none"/>
              </w:rPr>
              <w:t>;</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2) Проведення перевірки щодо цільового використання коштів Фонду, інших коштів, призначених для виплати пенсій, житлових субсидій та пільг, щомісячного грошового утримання суддям у відставці, в організаціях, що здійснюють виплату і доставку пенсій, житлових субсидій та пільг, установах (закладах), у яких особи перебувають на повному державному утриманні;</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3) Здійснення адміністративних стягнень та дисциплінарних проваджень, забезпечення складання та застосування адміністративних актів за результатами здійснення контрольних заходів, під час яких встановлені порушення законодавства у сфері загальнообов'язкового державного пенсійного страхування (рішень про застосування штрафів, нарахування пені, приписів про усунення порушень, вимог про сплату боргу, протоколів на посадових осіб);</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 xml:space="preserve">4) Забезпечення своєчасності та достовірності внесення даних матеріалів планових та позапланових перевірок суб'єктів господарювання, перевірок достовірності документів для призначення (перерахунків) пенсій до інформаційної підсистеми “Контрольно-перевірочна робота”; </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5) Надання своєчасно та в повному обсязі матеріалів планових та позапланових перевірок суб'єктів господарювання для внесення їх до Інтегрованої автоматизованої системи державного нагляду/контролю;</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 xml:space="preserve">6) Здійснення укомплектування та передачу єдиних справ розпорядчих документів, що приймаються Головним управління під час здійснення заходів державного нагляду (контролю) у сфері загальнообов'язкового державного пенсійного страхування до відділу організації та координації контрольно-перевірочної роботи; </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7) Узагальнення результатів проведення контрольних заходів, забезпечення своєчасного формування та надання звітності до відділу організації та координації контрольно-перевірочної роботи у встановлені строки відповідно до вимог законодавства;</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8)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9) Здійснення електронного обміну службовими та вихідними документами;</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10) Розгляд скарг та заяв суб'єктів господарювання, фізичних осіб на рішень органу Пенсійного фонду України в межах своїх повноважень.</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Умови оплати праці</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bidi w:val="0"/>
              <w:spacing w:lineRule="auto" w:line="240" w:before="0" w:after="0"/>
              <w:ind w:left="0" w:right="57" w:firstLine="567"/>
              <w:jc w:val="both"/>
              <w:rPr>
                <w:sz w:val="26"/>
                <w:szCs w:val="26"/>
              </w:rPr>
            </w:pPr>
            <w:r>
              <w:rPr>
                <w:rFonts w:cs="Times New Roman"/>
                <w:sz w:val="26"/>
                <w:szCs w:val="26"/>
                <w:lang w:val="uk-UA"/>
              </w:rPr>
              <w:t>П</w:t>
            </w:r>
            <w:r>
              <w:rPr>
                <w:rFonts w:cs="Times New Roman"/>
                <w:sz w:val="26"/>
                <w:szCs w:val="26"/>
              </w:rPr>
              <w:t xml:space="preserve">осадовий оклад </w:t>
            </w:r>
            <w:r>
              <w:rPr>
                <w:rFonts w:eastAsia="Times New Roman" w:cs="Times New Roman"/>
                <w:sz w:val="26"/>
                <w:szCs w:val="26"/>
              </w:rPr>
              <w:t>‒</w:t>
            </w:r>
            <w:r>
              <w:rPr>
                <w:rFonts w:cs="Times New Roman"/>
                <w:sz w:val="26"/>
                <w:szCs w:val="26"/>
              </w:rPr>
              <w:t xml:space="preserve"> 15996,00</w:t>
            </w:r>
            <w:r>
              <w:rPr>
                <w:rFonts w:eastAsia="Times New Roman" w:cs="Times New Roman"/>
                <w:color w:val="00000A"/>
                <w:kern w:val="0"/>
                <w:sz w:val="26"/>
                <w:szCs w:val="26"/>
                <w:lang w:val="uk-UA" w:eastAsia="zh-CN" w:bidi="ar-SA"/>
              </w:rPr>
              <w:t xml:space="preserve"> грн згідно зі штатним розписом;</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r>
              <w:rPr>
                <w:rFonts w:eastAsia="Times New Roman" w:cs="Times New Roman"/>
                <w:color w:val="00000A"/>
                <w:kern w:val="0"/>
                <w:sz w:val="26"/>
                <w:szCs w:val="26"/>
                <w:lang w:val="en-US" w:eastAsia="zh-CN" w:bidi="ar-SA"/>
              </w:rPr>
              <w:t>”</w:t>
            </w:r>
            <w:r>
              <w:rPr>
                <w:rFonts w:eastAsia="Times New Roman" w:cs="Times New Roman"/>
                <w:color w:val="00000A"/>
                <w:kern w:val="0"/>
                <w:sz w:val="26"/>
                <w:szCs w:val="26"/>
                <w:lang w:val="uk-UA" w:eastAsia="zh-CN" w:bidi="ar-SA"/>
              </w:rPr>
              <w:t>;</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Інформація про строковість чи безстроковість призначення на посаду</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57" w:right="113"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030" w:type="dxa"/>
            <w:tcBorders>
              <w:left w:val="single" w:sz="2" w:space="0" w:color="000000"/>
              <w:bottom w:val="single" w:sz="2" w:space="0" w:color="000000"/>
              <w:right w:val="single" w:sz="2" w:space="0" w:color="000000"/>
            </w:tcBorders>
            <w:shd w:fill="auto" w:val="clear"/>
          </w:tcPr>
          <w:p>
            <w:pPr>
              <w:pStyle w:val="Style25"/>
              <w:widowControl w:val="false"/>
              <w:suppressAutoHyphens w:val="true"/>
              <w:bidi w:val="0"/>
              <w:spacing w:lineRule="auto" w:line="240" w:before="0" w:after="0"/>
              <w:ind w:left="57" w:right="57" w:firstLine="510"/>
              <w:jc w:val="both"/>
              <w:rPr/>
            </w:pPr>
            <w:r>
              <w:rPr>
                <w:rFonts w:cs="Times New Roman"/>
                <w:bCs/>
                <w:sz w:val="26"/>
                <w:szCs w:val="26"/>
                <w:shd w:fill="auto" w:val="clear"/>
              </w:rPr>
              <w:t xml:space="preserve">Особа, яка бажає взяти участь у доборі, подає </w:t>
            </w:r>
            <w:r>
              <w:rPr>
                <w:rFonts w:eastAsia="Times New Roman" w:cs="Times New Roman"/>
                <w:bCs/>
                <w:color w:val="00000A"/>
                <w:kern w:val="0"/>
                <w:sz w:val="26"/>
                <w:szCs w:val="26"/>
                <w:shd w:fill="auto" w:val="clear"/>
                <w:lang w:val="uk-UA" w:eastAsia="zh-CN" w:bidi="ar-SA"/>
              </w:rPr>
              <w:t>Управлінню по роботі з персоналом</w:t>
            </w:r>
            <w:r>
              <w:rPr>
                <w:rFonts w:cs="Times New Roman"/>
                <w:bCs/>
                <w:sz w:val="26"/>
                <w:szCs w:val="26"/>
                <w:shd w:fill="auto" w:val="clear"/>
              </w:rPr>
              <w:t>:</w:t>
            </w:r>
          </w:p>
          <w:p>
            <w:pPr>
              <w:pStyle w:val="Style10"/>
              <w:widowControl w:val="false"/>
              <w:suppressAutoHyphens w:val="true"/>
              <w:bidi w:val="0"/>
              <w:spacing w:lineRule="auto" w:line="240" w:before="0" w:after="0"/>
              <w:ind w:left="0" w:right="57" w:firstLine="567"/>
              <w:jc w:val="both"/>
              <w:rPr/>
            </w:pPr>
            <w:r>
              <w:rPr>
                <w:rFonts w:cs="Times New Roman"/>
                <w:bCs/>
                <w:color w:val="000000"/>
                <w:sz w:val="26"/>
                <w:szCs w:val="26"/>
                <w:shd w:fill="auto" w:val="clear"/>
              </w:rPr>
              <w:t>заяв</w:t>
            </w:r>
            <w:r>
              <w:rPr>
                <w:rFonts w:eastAsia="Times New Roman" w:cs="Times New Roman"/>
                <w:bCs/>
                <w:color w:val="000000"/>
                <w:kern w:val="0"/>
                <w:sz w:val="26"/>
                <w:szCs w:val="26"/>
                <w:shd w:fill="auto" w:val="clear"/>
                <w:lang w:val="uk-UA" w:eastAsia="zh-CN" w:bidi="ar-SA"/>
              </w:rPr>
              <w:t>у;</w:t>
            </w:r>
          </w:p>
          <w:p>
            <w:pPr>
              <w:pStyle w:val="Style10"/>
              <w:widowControl w:val="false"/>
              <w:suppressAutoHyphens w:val="true"/>
              <w:bidi w:val="0"/>
              <w:spacing w:lineRule="auto" w:line="240" w:before="0" w:after="0"/>
              <w:ind w:left="57" w:right="57" w:firstLine="510"/>
              <w:jc w:val="both"/>
              <w:rPr/>
            </w:pPr>
            <w:r>
              <w:rPr>
                <w:rFonts w:cs="Times New Roman"/>
                <w:bCs/>
                <w:color w:val="000000"/>
                <w:sz w:val="26"/>
                <w:szCs w:val="26"/>
                <w:shd w:fill="auto" w:val="clear"/>
              </w:rPr>
              <w:t>заповнен</w:t>
            </w:r>
            <w:r>
              <w:rPr>
                <w:rFonts w:eastAsia="Times New Roman" w:cs="Times New Roman"/>
                <w:bCs/>
                <w:color w:val="000000"/>
                <w:kern w:val="0"/>
                <w:sz w:val="26"/>
                <w:szCs w:val="26"/>
                <w:shd w:fill="auto" w:val="clear"/>
                <w:lang w:val="uk-UA" w:eastAsia="zh-CN" w:bidi="ar-SA"/>
              </w:rPr>
              <w:t>у</w:t>
            </w:r>
            <w:r>
              <w:rPr>
                <w:rFonts w:cs="Times New Roman"/>
                <w:bCs/>
                <w:color w:val="000000"/>
                <w:sz w:val="26"/>
                <w:szCs w:val="26"/>
                <w:shd w:fill="auto" w:val="clear"/>
              </w:rPr>
              <w:t xml:space="preserve"> особов</w:t>
            </w:r>
            <w:r>
              <w:rPr>
                <w:rFonts w:eastAsia="Times New Roman" w:cs="Times New Roman"/>
                <w:bCs/>
                <w:color w:val="000000"/>
                <w:kern w:val="0"/>
                <w:sz w:val="26"/>
                <w:szCs w:val="26"/>
                <w:shd w:fill="auto" w:val="clear"/>
                <w:lang w:val="uk-UA" w:eastAsia="zh-CN" w:bidi="ar-SA"/>
              </w:rPr>
              <w:t>у</w:t>
            </w:r>
            <w:r>
              <w:rPr>
                <w:rFonts w:cs="Times New Roman"/>
                <w:bCs/>
                <w:color w:val="000000"/>
                <w:sz w:val="26"/>
                <w:szCs w:val="26"/>
                <w:shd w:fill="auto" w:val="clear"/>
              </w:rPr>
              <w:t xml:space="preserve"> картк</w:t>
            </w:r>
            <w:r>
              <w:rPr>
                <w:rFonts w:eastAsia="Times New Roman" w:cs="Times New Roman"/>
                <w:bCs/>
                <w:color w:val="000000"/>
                <w:kern w:val="0"/>
                <w:sz w:val="26"/>
                <w:szCs w:val="26"/>
                <w:shd w:fill="auto" w:val="clear"/>
                <w:lang w:val="uk-UA" w:eastAsia="zh-CN" w:bidi="ar-SA"/>
              </w:rPr>
              <w:t>у</w:t>
            </w:r>
            <w:r>
              <w:rPr>
                <w:rFonts w:cs="Times New Roman"/>
                <w:bCs/>
                <w:color w:val="000000"/>
                <w:sz w:val="26"/>
                <w:szCs w:val="26"/>
                <w:shd w:fill="auto" w:val="clear"/>
              </w:rPr>
              <w:t xml:space="preserve"> встановленого зразка;</w:t>
            </w:r>
          </w:p>
          <w:p>
            <w:pPr>
              <w:pStyle w:val="Style10"/>
              <w:widowControl w:val="false"/>
              <w:suppressAutoHyphens w:val="true"/>
              <w:bidi w:val="0"/>
              <w:spacing w:lineRule="auto" w:line="240" w:before="0" w:after="0"/>
              <w:ind w:left="0" w:right="57" w:firstLine="567"/>
              <w:jc w:val="both"/>
              <w:rPr/>
            </w:pPr>
            <w:r>
              <w:rPr>
                <w:rFonts w:cs="Times New Roman"/>
                <w:bCs/>
                <w:color w:val="000000"/>
                <w:sz w:val="26"/>
                <w:szCs w:val="26"/>
                <w:shd w:fill="auto" w:val="clear"/>
              </w:rPr>
              <w:t>документ</w:t>
            </w:r>
            <w:r>
              <w:rPr>
                <w:rFonts w:eastAsia="Times New Roman" w:cs="Times New Roman"/>
                <w:bCs/>
                <w:color w:val="000000"/>
                <w:kern w:val="0"/>
                <w:sz w:val="26"/>
                <w:szCs w:val="26"/>
                <w:shd w:fill="auto" w:val="clear"/>
                <w:lang w:val="uk-UA" w:eastAsia="zh-CN" w:bidi="ar-SA"/>
              </w:rPr>
              <w:t>и</w:t>
            </w:r>
            <w:r>
              <w:rPr>
                <w:rFonts w:cs="Times New Roman"/>
                <w:bCs/>
                <w:color w:val="000000"/>
                <w:sz w:val="26"/>
                <w:szCs w:val="26"/>
                <w:shd w:fill="auto" w:val="clear"/>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Style19"/>
              <w:widowControl w:val="false"/>
              <w:suppressLineNumbers/>
              <w:suppressAutoHyphens w:val="true"/>
              <w:bidi w:val="0"/>
              <w:spacing w:before="0" w:after="0"/>
              <w:ind w:left="0" w:right="170" w:firstLine="510"/>
              <w:jc w:val="both"/>
              <w:rPr/>
            </w:pPr>
            <w:r>
              <w:rPr>
                <w:rFonts w:eastAsia="Times New Roman" w:cs="Times New Roman"/>
                <w:b w:val="false"/>
                <w:bCs w:val="false"/>
                <w:color w:val="00000A"/>
                <w:kern w:val="0"/>
                <w:sz w:val="26"/>
                <w:szCs w:val="26"/>
                <w:shd w:fill="auto" w:val="clear"/>
                <w:lang w:val="uk-UA" w:eastAsia="zh-CN" w:bidi="ar-SA"/>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p>
            <w:pPr>
              <w:pStyle w:val="Style25"/>
              <w:widowControl w:val="false"/>
              <w:suppressAutoHyphens w:val="true"/>
              <w:bidi w:val="0"/>
              <w:spacing w:lineRule="auto" w:line="240" w:before="0" w:after="0"/>
              <w:ind w:left="0" w:right="57" w:firstLine="567"/>
              <w:jc w:val="both"/>
              <w:rPr/>
            </w:pPr>
            <w:r>
              <w:rPr>
                <w:rFonts w:eastAsia="Times New Roman" w:cs="Times New Roman"/>
                <w:bCs/>
                <w:color w:val="111111"/>
                <w:spacing w:val="-6"/>
                <w:kern w:val="0"/>
                <w:sz w:val="26"/>
                <w:szCs w:val="26"/>
                <w:shd w:fill="auto" w:val="clear"/>
                <w:lang w:val="uk-UA" w:eastAsia="zh-CN" w:bidi="ar-SA"/>
              </w:rPr>
              <w:t>Д</w:t>
            </w:r>
            <w:r>
              <w:rPr>
                <w:rFonts w:eastAsia="Times New Roman" w:cs="Times New Roman"/>
                <w:bCs/>
                <w:color w:val="111111"/>
                <w:sz w:val="26"/>
                <w:szCs w:val="26"/>
                <w:shd w:fill="auto" w:val="clear"/>
              </w:rPr>
              <w:t>окументи</w:t>
            </w:r>
            <w:r>
              <w:rPr>
                <w:rFonts w:cs="Times New Roman"/>
                <w:bCs/>
                <w:color w:val="111111"/>
                <w:sz w:val="26"/>
                <w:szCs w:val="26"/>
                <w:shd w:fill="auto" w:val="clear"/>
              </w:rPr>
              <w:t xml:space="preserve"> прийма</w:t>
            </w:r>
            <w:r>
              <w:rPr>
                <w:rFonts w:eastAsia="Times New Roman" w:cs="Times New Roman"/>
                <w:bCs/>
                <w:color w:val="111111"/>
                <w:sz w:val="26"/>
                <w:szCs w:val="26"/>
                <w:shd w:fill="auto" w:val="clear"/>
              </w:rPr>
              <w:t>ю</w:t>
            </w:r>
            <w:r>
              <w:rPr>
                <w:rFonts w:cs="Times New Roman"/>
                <w:bCs/>
                <w:color w:val="111111"/>
                <w:sz w:val="26"/>
                <w:szCs w:val="26"/>
                <w:shd w:fill="auto" w:val="clear"/>
              </w:rPr>
              <w:t xml:space="preserve">ться до </w:t>
            </w:r>
            <w:r>
              <w:rPr>
                <w:rFonts w:cs="Times New Roman"/>
                <w:bCs/>
                <w:color w:val="000000"/>
                <w:spacing w:val="-6"/>
                <w:sz w:val="26"/>
                <w:szCs w:val="26"/>
                <w:shd w:fill="auto" w:val="clear"/>
              </w:rPr>
              <w:t>17:00 год 11 червня 2025</w:t>
            </w:r>
            <w:r>
              <w:rPr>
                <w:rFonts w:cs="Times New Roman"/>
                <w:bCs/>
                <w:color w:val="FF4000"/>
                <w:spacing w:val="-6"/>
                <w:sz w:val="26"/>
                <w:szCs w:val="26"/>
                <w:shd w:fill="auto" w:val="clear"/>
              </w:rPr>
              <w:t xml:space="preserve"> </w:t>
            </w:r>
            <w:r>
              <w:rPr>
                <w:rFonts w:cs="Times New Roman"/>
                <w:bCs/>
                <w:color w:val="000000"/>
                <w:spacing w:val="-6"/>
                <w:sz w:val="26"/>
                <w:szCs w:val="26"/>
                <w:shd w:fill="auto" w:val="clear"/>
              </w:rPr>
              <w:t>року включно.</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bidi w:val="0"/>
              <w:spacing w:lineRule="auto" w:line="240" w:before="0" w:after="0"/>
              <w:ind w:left="0" w:right="57" w:firstLine="567"/>
              <w:jc w:val="both"/>
              <w:rPr/>
            </w:pPr>
            <w:r>
              <w:rPr>
                <w:rFonts w:cs="Times New Roman"/>
                <w:b w:val="false"/>
                <w:bCs w:val="false"/>
                <w:color w:val="111111"/>
                <w:sz w:val="26"/>
                <w:szCs w:val="26"/>
                <w:shd w:fill="auto" w:val="clear"/>
              </w:rPr>
              <w:t>Співбесіда відбудеться 12</w:t>
            </w:r>
            <w:r>
              <w:rPr>
                <w:rFonts w:cs="Times New Roman"/>
                <w:b w:val="false"/>
                <w:bCs w:val="false"/>
                <w:color w:val="000000"/>
                <w:sz w:val="26"/>
                <w:szCs w:val="26"/>
                <w:shd w:fill="auto" w:val="clear"/>
              </w:rPr>
              <w:t xml:space="preserve"> червня 2025</w:t>
            </w:r>
            <w:r>
              <w:rPr>
                <w:rFonts w:cs="Times New Roman"/>
                <w:b w:val="false"/>
                <w:bCs w:val="false"/>
                <w:color w:val="111111"/>
                <w:sz w:val="26"/>
                <w:szCs w:val="26"/>
                <w:shd w:fill="auto" w:val="clear"/>
              </w:rPr>
              <w:t xml:space="preserve"> року</w:t>
            </w:r>
            <w:r>
              <w:rPr>
                <w:rFonts w:cs="Times New Roman"/>
                <w:color w:val="111111"/>
                <w:sz w:val="26"/>
                <w:szCs w:val="26"/>
                <w:shd w:fill="auto" w:val="clear"/>
              </w:rPr>
              <w:t xml:space="preserve"> за адресою: </w:t>
            </w:r>
            <w:r>
              <w:rPr>
                <w:rFonts w:eastAsia="Times New Roman" w:cs="Times New Roman"/>
                <w:color w:val="000000"/>
                <w:sz w:val="26"/>
                <w:szCs w:val="26"/>
                <w:shd w:fill="auto" w:val="clear"/>
                <w:lang w:val="uk-UA" w:eastAsia="zh-CN" w:bidi="ar-SA"/>
              </w:rPr>
              <w:t xml:space="preserve">м. Луцьк, Київський майдан, буд. 6 (проведення </w:t>
            </w:r>
            <w:r>
              <w:rPr>
                <w:rFonts w:eastAsia="Times New Roman" w:cs="Times New Roman"/>
                <w:color w:val="000000"/>
                <w:kern w:val="0"/>
                <w:sz w:val="26"/>
                <w:szCs w:val="26"/>
                <w:shd w:fill="auto" w:val="clear"/>
                <w:lang w:val="uk-UA" w:eastAsia="zh-CN" w:bidi="ar-SA"/>
              </w:rPr>
              <w:t>співбесіди</w:t>
            </w:r>
            <w:r>
              <w:rPr>
                <w:rFonts w:eastAsia="Times New Roman" w:cs="Times New Roman"/>
                <w:color w:val="000000"/>
                <w:sz w:val="26"/>
                <w:szCs w:val="26"/>
                <w:shd w:fill="auto" w:val="clear"/>
                <w:lang w:val="uk-UA" w:eastAsia="zh-CN" w:bidi="ar-SA"/>
              </w:rPr>
              <w:t xml:space="preserve"> за фізичної присутності кандидатів).</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lineRule="auto" w:line="240" w:before="0" w:after="0"/>
              <w:ind w:left="113" w:right="170" w:firstLine="510"/>
              <w:jc w:val="both"/>
              <w:rPr/>
            </w:pPr>
            <w:r>
              <w:rPr>
                <w:rFonts w:eastAsia="Times New Roman" w:cs="Times New Roman"/>
                <w:color w:val="00000A"/>
                <w:kern w:val="0"/>
                <w:sz w:val="26"/>
                <w:szCs w:val="26"/>
                <w:lang w:val="uk-UA" w:eastAsia="zh-CN" w:bidi="ar-SA"/>
              </w:rPr>
              <w:t>Левчук Володимир Михайлович,</w:t>
            </w:r>
          </w:p>
          <w:p>
            <w:pPr>
              <w:pStyle w:val="Normal"/>
              <w:widowControl w:val="false"/>
              <w:suppressAutoHyphens w:val="true"/>
              <w:overflowPunct w:val="false"/>
              <w:bidi w:val="0"/>
              <w:spacing w:lineRule="auto" w:line="240" w:before="0" w:after="0"/>
              <w:ind w:left="113" w:right="170" w:firstLine="510"/>
              <w:jc w:val="both"/>
              <w:rPr>
                <w:rFonts w:ascii="Times New Roman" w:hAnsi="Times New Roman"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Козицька Галина Стефанівна</w:t>
            </w:r>
          </w:p>
          <w:p>
            <w:pPr>
              <w:pStyle w:val="Normal"/>
              <w:widowControl w:val="false"/>
              <w:spacing w:lineRule="auto" w:line="240" w:before="0" w:after="0"/>
              <w:ind w:left="0" w:right="0" w:hanging="0"/>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28-10-35</w:t>
            </w:r>
          </w:p>
          <w:p>
            <w:pPr>
              <w:pStyle w:val="Normal"/>
              <w:widowControl w:val="false"/>
              <w:suppressAutoHyphens w:val="true"/>
              <w:bidi w:val="0"/>
              <w:spacing w:lineRule="auto" w:line="240" w:before="0" w:after="0"/>
              <w:ind w:left="0" w:right="0" w:hanging="0"/>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28-10-62</w:t>
            </w:r>
          </w:p>
          <w:p>
            <w:pPr>
              <w:pStyle w:val="Normal"/>
              <w:widowControl w:val="false"/>
              <w:spacing w:lineRule="auto" w:line="240" w:before="0" w:after="0"/>
              <w:ind w:left="0" w:right="0" w:hanging="0"/>
              <w:jc w:val="both"/>
              <w:rPr/>
            </w:pPr>
            <w:r>
              <w:rPr>
                <w:rFonts w:eastAsia="Times New Roman" w:cs="Times New Roman"/>
                <w:color w:val="000000"/>
                <w:kern w:val="0"/>
                <w:sz w:val="26"/>
                <w:szCs w:val="26"/>
                <w:shd w:fill="FFFFFF" w:val="clear"/>
                <w:lang w:val="en-US" w:eastAsia="zh-CN" w:bidi="ar-SA"/>
              </w:rPr>
              <w:t xml:space="preserve">E-mail: </w:t>
            </w:r>
            <w:hyperlink r:id="rId2">
              <w:r>
                <w:rPr>
                  <w:rStyle w:val="Style7"/>
                  <w:rFonts w:eastAsia="Times New Roman" w:cs="Times New Roman"/>
                  <w:kern w:val="0"/>
                  <w:sz w:val="26"/>
                  <w:szCs w:val="26"/>
                  <w:highlight w:val="white"/>
                  <w:lang w:val="en-US"/>
                </w:rPr>
                <w:t>personal@vl.pfu.gov.ua</w:t>
              </w:r>
            </w:hyperlink>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jc w:val="both"/>
              <w:rPr>
                <w:b w:val="false"/>
                <w:b w:val="false"/>
                <w:bCs w:val="false"/>
                <w:sz w:val="26"/>
                <w:szCs w:val="26"/>
              </w:rPr>
            </w:pPr>
            <w:r>
              <w:rPr>
                <w:b w:val="false"/>
                <w:bCs w:val="false"/>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1073"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Освіта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bidi w:val="0"/>
              <w:ind w:left="0" w:right="0" w:firstLine="283"/>
              <w:jc w:val="both"/>
              <w:rPr/>
            </w:pPr>
            <w:r>
              <w:rPr>
                <w:rStyle w:val="CharStyle7"/>
                <w:sz w:val="26"/>
                <w:szCs w:val="26"/>
              </w:rPr>
              <w:t>Вища освіта за освітнім ступенем не нижче бакалавра, молодшого бакалавра.</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Досвід роботи</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bidi w:val="0"/>
              <w:ind w:left="0" w:right="0" w:firstLine="283"/>
              <w:jc w:val="both"/>
              <w:rPr>
                <w:sz w:val="26"/>
                <w:szCs w:val="26"/>
              </w:rPr>
            </w:pPr>
            <w:r>
              <w:rPr>
                <w:rFonts w:eastAsia="Times New Roman" w:cs="Times New Roman"/>
                <w:b w:val="false"/>
                <w:i w:val="false"/>
                <w:caps w:val="false"/>
                <w:smallCaps w:val="false"/>
                <w:color w:val="00000A"/>
                <w:spacing w:val="0"/>
                <w:kern w:val="0"/>
                <w:sz w:val="26"/>
                <w:szCs w:val="26"/>
                <w:lang w:val="uk-UA" w:eastAsia="zh-CN" w:bidi="ar-SA"/>
              </w:rPr>
              <w:t>Без вимог до досвіду роботи.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Володіння державною мовою</w:t>
            </w:r>
          </w:p>
        </w:tc>
        <w:tc>
          <w:tcPr>
            <w:tcW w:w="6030" w:type="dxa"/>
            <w:tcBorders>
              <w:left w:val="single" w:sz="2" w:space="0" w:color="000000"/>
              <w:bottom w:val="single" w:sz="2" w:space="0" w:color="000000"/>
              <w:right w:val="single" w:sz="2" w:space="0" w:color="000000"/>
            </w:tcBorders>
            <w:shd w:fill="auto" w:val="clear"/>
          </w:tcPr>
          <w:p>
            <w:pPr>
              <w:pStyle w:val="Rvps14"/>
              <w:widowControl w:val="false"/>
              <w:suppressAutoHyphens w:val="true"/>
              <w:overflowPunct w:val="false"/>
              <w:bidi w:val="0"/>
              <w:spacing w:lineRule="atLeast" w:line="100" w:before="150" w:after="150"/>
              <w:ind w:left="57" w:right="227" w:firstLine="227"/>
              <w:jc w:val="left"/>
              <w:textAlignment w:val="baseline"/>
              <w:rPr>
                <w:rFonts w:cs="Times New Roman"/>
                <w:sz w:val="26"/>
                <w:szCs w:val="26"/>
              </w:rPr>
            </w:pPr>
            <w:r>
              <w:rPr>
                <w:rFonts w:cs="Times New Roman"/>
                <w:sz w:val="26"/>
                <w:szCs w:val="26"/>
              </w:rPr>
              <w:t>Вільне володіння державною мовою.</w:t>
            </w:r>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Вимоги до компетентності</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b/>
                <w:b/>
                <w:bCs/>
                <w:sz w:val="26"/>
                <w:szCs w:val="26"/>
              </w:rPr>
            </w:pPr>
            <w:r>
              <w:rPr>
                <w:b/>
                <w:bCs/>
                <w:sz w:val="26"/>
                <w:szCs w:val="26"/>
              </w:rPr>
              <w:t>Вимога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jc w:val="both"/>
              <w:rPr>
                <w:b/>
                <w:b/>
                <w:bCs/>
                <w:sz w:val="26"/>
                <w:szCs w:val="26"/>
              </w:rPr>
            </w:pPr>
            <w:r>
              <w:rPr>
                <w:b/>
                <w:bCs/>
                <w:sz w:val="26"/>
                <w:szCs w:val="26"/>
              </w:rPr>
              <w:t>Компоненти вимоги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Досягнення результатів</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до чіткого бачення результату діяльності;</w:t>
            </w:r>
          </w:p>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bidi w:val="0"/>
              <w:spacing w:before="0" w:after="0"/>
              <w:ind w:left="-57" w:right="57" w:firstLine="624"/>
              <w:jc w:val="both"/>
              <w:rPr>
                <w:sz w:val="26"/>
                <w:szCs w:val="26"/>
              </w:rPr>
            </w:pPr>
            <w:r>
              <w:rPr>
                <w:sz w:val="26"/>
                <w:szCs w:val="26"/>
              </w:rPr>
              <w:t>вміння запобігати та ефективно долати перешкоди.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Відповідальність</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67"/>
              <w:jc w:val="both"/>
              <w:rPr>
                <w:sz w:val="26"/>
                <w:szCs w:val="26"/>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bidi w:val="0"/>
              <w:spacing w:before="0" w:after="0"/>
              <w:ind w:left="0" w:right="57" w:firstLine="510"/>
              <w:jc w:val="both"/>
              <w:rPr>
                <w:sz w:val="26"/>
                <w:szCs w:val="26"/>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bidi w:val="0"/>
              <w:spacing w:before="0" w:after="0"/>
              <w:ind w:left="0" w:right="57" w:firstLine="567"/>
              <w:jc w:val="both"/>
              <w:rPr>
                <w:sz w:val="26"/>
                <w:szCs w:val="26"/>
              </w:rPr>
            </w:pPr>
            <w:r>
              <w:rPr>
                <w:sz w:val="26"/>
                <w:szCs w:val="26"/>
              </w:rPr>
              <w:t>здатність брати на себе зобов’язання, чітко їх дотримуватись і виконувати.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Цифрова грамотність</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використовувати сервіси Інтернету для ефективного пошуку потрібної інформації; 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уникати небезпек у цифровому середовищі, захищати особисті та конфіденційні дані;</w:t>
            </w:r>
          </w:p>
          <w:p>
            <w:pPr>
              <w:pStyle w:val="Style19"/>
              <w:widowControl w:val="false"/>
              <w:suppressLineNumbers/>
              <w:suppressAutoHyphens w:val="true"/>
              <w:bidi w:val="0"/>
              <w:spacing w:before="0" w:after="0"/>
              <w:ind w:left="0" w:right="57" w:firstLine="567"/>
              <w:jc w:val="both"/>
              <w:rPr>
                <w:sz w:val="26"/>
                <w:szCs w:val="26"/>
              </w:rPr>
            </w:pPr>
            <w:r>
              <w:rPr>
                <w:sz w:val="26"/>
                <w:szCs w:val="26"/>
              </w:rPr>
              <w:t>здатність використовувати відкриті цифрові ресурси для власного професійного розвитку.</w:t>
            </w:r>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Професійні знання</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b/>
                <w:b/>
                <w:bCs/>
                <w:sz w:val="26"/>
                <w:szCs w:val="26"/>
              </w:rPr>
            </w:pPr>
            <w:r>
              <w:rPr>
                <w:b/>
                <w:bCs/>
                <w:sz w:val="26"/>
                <w:szCs w:val="26"/>
              </w:rPr>
              <w:t>Вимога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jc w:val="both"/>
              <w:rPr>
                <w:b/>
                <w:b/>
                <w:bCs/>
                <w:sz w:val="26"/>
                <w:szCs w:val="26"/>
              </w:rPr>
            </w:pPr>
            <w:r>
              <w:rPr>
                <w:b/>
                <w:bCs/>
                <w:sz w:val="26"/>
                <w:szCs w:val="26"/>
              </w:rPr>
              <w:t>Компоненти вимоги</w:t>
            </w:r>
          </w:p>
        </w:tc>
      </w:tr>
      <w:tr>
        <w:trPr>
          <w:trHeight w:val="1299"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2"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lineRule="exact" w:line="283" w:before="0" w:after="0"/>
              <w:ind w:left="-57" w:right="57" w:firstLine="624"/>
              <w:jc w:val="both"/>
              <w:rPr/>
            </w:pPr>
            <w:r>
              <w:rPr>
                <w:sz w:val="26"/>
                <w:szCs w:val="26"/>
              </w:rPr>
              <w:t>Конституції України від 28 червня 1996 року;</w:t>
            </w:r>
          </w:p>
          <w:p>
            <w:pPr>
              <w:pStyle w:val="Normal"/>
              <w:widowControl w:val="false"/>
              <w:suppressAutoHyphens w:val="true"/>
              <w:overflowPunct w:val="false"/>
              <w:bidi w:val="0"/>
              <w:spacing w:lineRule="exact" w:line="283" w:before="0" w:after="0"/>
              <w:ind w:left="0" w:right="57" w:firstLine="567"/>
              <w:jc w:val="both"/>
              <w:rPr/>
            </w:pPr>
            <w:r>
              <w:rPr>
                <w:rFonts w:eastAsia="Times New Roman" w:cs="Times New Roman"/>
                <w:sz w:val="26"/>
                <w:szCs w:val="26"/>
              </w:rPr>
              <w:t>Закону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false"/>
              <w:bidi w:val="0"/>
              <w:spacing w:lineRule="exact" w:line="283" w:before="0" w:after="0"/>
              <w:ind w:left="0" w:right="57" w:firstLine="567"/>
              <w:jc w:val="both"/>
              <w:rPr/>
            </w:pPr>
            <w:r>
              <w:rPr>
                <w:rFonts w:eastAsia="Times New Roman" w:cs="Times New Roman"/>
                <w:sz w:val="26"/>
                <w:szCs w:val="26"/>
              </w:rPr>
              <w:t xml:space="preserve">Закону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false"/>
              <w:bidi w:val="0"/>
              <w:spacing w:lineRule="exact" w:line="283" w:before="0" w:after="0"/>
              <w:ind w:left="57" w:right="57" w:firstLine="510"/>
              <w:jc w:val="both"/>
              <w:rPr/>
            </w:pPr>
            <w:r>
              <w:rPr>
                <w:rFonts w:eastAsia="Times New Roman" w:cs="Times New Roman"/>
                <w:sz w:val="26"/>
                <w:szCs w:val="26"/>
              </w:rPr>
              <w:t>Закону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false"/>
              <w:bidi w:val="0"/>
              <w:spacing w:lineRule="exact" w:line="283" w:before="0" w:after="0"/>
              <w:ind w:left="0" w:right="57" w:firstLine="624"/>
              <w:jc w:val="both"/>
              <w:rPr/>
            </w:pPr>
            <w:r>
              <w:rPr>
                <w:sz w:val="26"/>
                <w:szCs w:val="26"/>
              </w:rPr>
              <w:t>Закону України “Про захист персональних даних” від 01 червня 2010 року № 2297-</w:t>
            </w:r>
            <w:r>
              <w:rPr>
                <w:sz w:val="26"/>
                <w:szCs w:val="26"/>
                <w:lang w:val="en-US"/>
              </w:rPr>
              <w:t>VI</w:t>
            </w:r>
            <w:r>
              <w:rPr>
                <w:sz w:val="26"/>
                <w:szCs w:val="26"/>
              </w:rPr>
              <w:t>.</w:t>
            </w:r>
          </w:p>
        </w:tc>
      </w:tr>
      <w:tr>
        <w:trPr>
          <w:trHeight w:val="2110"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2"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 у сфері</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pacing w:lineRule="exact" w:line="283"/>
              <w:ind w:left="0" w:right="57" w:firstLine="567"/>
              <w:jc w:val="both"/>
              <w:rPr>
                <w:highlight w:val="none"/>
                <w:shd w:fill="auto" w:val="clear"/>
              </w:rPr>
            </w:pPr>
            <w:bookmarkStart w:id="0" w:name="Про_спрощення_порядку_надання_населенню_"/>
            <w:bookmarkEnd w:id="0"/>
            <w:r>
              <w:rPr>
                <w:b w:val="false"/>
                <w:bCs w:val="false"/>
                <w:i w:val="false"/>
                <w:caps w:val="false"/>
                <w:smallCaps w:val="false"/>
                <w:color w:val="000000"/>
                <w:spacing w:val="0"/>
                <w:sz w:val="26"/>
                <w:szCs w:val="26"/>
                <w:shd w:fill="auto" w:val="clear"/>
                <w:lang w:val="uk-UA" w:eastAsia="zh-CN" w:bidi="ar-SA"/>
              </w:rPr>
              <w:t>З</w:t>
            </w:r>
            <w:r>
              <w:rPr>
                <w:sz w:val="26"/>
                <w:szCs w:val="26"/>
                <w:shd w:fill="auto" w:val="clear"/>
              </w:rPr>
              <w:t xml:space="preserve">акону України </w:t>
            </w:r>
            <w:r>
              <w:rPr>
                <w:b w:val="false"/>
                <w:bCs w:val="false"/>
                <w:sz w:val="26"/>
                <w:szCs w:val="26"/>
                <w:shd w:fill="auto" w:val="clear"/>
              </w:rPr>
              <w:t>“</w:t>
            </w:r>
            <w:r>
              <w:rPr>
                <w:b w:val="false"/>
                <w:bCs w:val="false"/>
                <w:i w:val="false"/>
                <w:caps w:val="false"/>
                <w:smallCaps w:val="false"/>
                <w:color w:val="000000"/>
                <w:spacing w:val="0"/>
                <w:sz w:val="26"/>
                <w:szCs w:val="26"/>
                <w:shd w:fill="auto" w:val="clear"/>
              </w:rPr>
              <w:t>Про загальнообов’язкове державне пенсійне страхування</w:t>
            </w:r>
            <w:r>
              <w:rPr>
                <w:b w:val="false"/>
                <w:bCs w:val="false"/>
                <w:sz w:val="26"/>
                <w:szCs w:val="26"/>
                <w:shd w:fill="auto" w:val="clear"/>
              </w:rPr>
              <w:t>” від 09 липня 2003 року № 1058-</w:t>
            </w:r>
            <w:r>
              <w:rPr>
                <w:b w:val="false"/>
                <w:bCs w:val="false"/>
                <w:sz w:val="26"/>
                <w:szCs w:val="26"/>
                <w:shd w:fill="auto" w:val="clear"/>
                <w:lang w:val="en-US"/>
              </w:rPr>
              <w:t>VI</w:t>
            </w:r>
            <w:r>
              <w:rPr>
                <w:b w:val="false"/>
                <w:bCs w:val="false"/>
                <w:sz w:val="26"/>
                <w:szCs w:val="26"/>
                <w:shd w:fill="auto" w:val="clear"/>
              </w:rPr>
              <w:t>;</w:t>
            </w:r>
            <w:bookmarkStart w:id="1" w:name="__DdeLink__950_1541986854"/>
          </w:p>
          <w:p>
            <w:pPr>
              <w:pStyle w:val="Normal"/>
              <w:widowControl w:val="false"/>
              <w:spacing w:lineRule="exact" w:line="283"/>
              <w:ind w:left="0" w:right="57" w:firstLine="567"/>
              <w:jc w:val="both"/>
              <w:rPr>
                <w:highlight w:val="none"/>
                <w:shd w:fill="auto" w:val="clear"/>
              </w:rPr>
            </w:pPr>
            <w:r>
              <w:rPr>
                <w:b w:val="false"/>
                <w:bCs w:val="false"/>
                <w:sz w:val="26"/>
                <w:szCs w:val="26"/>
                <w:shd w:fill="auto" w:val="clear"/>
              </w:rPr>
              <w:t xml:space="preserve">Закону України “Про забезпечення осіб, звільнених з військової служби, та деяких інших осіб” </w:t>
            </w:r>
            <w:r>
              <w:rPr>
                <w:b w:val="false"/>
                <w:bCs w:val="false"/>
                <w:sz w:val="26"/>
                <w:szCs w:val="26"/>
                <w:shd w:fill="auto" w:val="clear"/>
                <w:lang w:val="en-US"/>
              </w:rPr>
              <w:t xml:space="preserve">від 09 </w:t>
            </w:r>
            <w:r>
              <w:rPr>
                <w:b w:val="false"/>
                <w:bCs w:val="false"/>
                <w:sz w:val="26"/>
                <w:szCs w:val="26"/>
                <w:shd w:fill="auto" w:val="clear"/>
                <w:lang w:val="uk-UA"/>
              </w:rPr>
              <w:t xml:space="preserve">квітня </w:t>
            </w:r>
            <w:r>
              <w:rPr>
                <w:b w:val="false"/>
                <w:bCs w:val="false"/>
                <w:sz w:val="26"/>
                <w:szCs w:val="26"/>
                <w:shd w:fill="auto" w:val="clear"/>
                <w:lang w:val="en-US"/>
              </w:rPr>
              <w:t xml:space="preserve">1992 року </w:t>
            </w:r>
            <w:r>
              <w:rPr>
                <w:b w:val="false"/>
                <w:bCs w:val="false"/>
                <w:sz w:val="26"/>
                <w:szCs w:val="26"/>
                <w:shd w:fill="auto" w:val="clear"/>
              </w:rPr>
              <w:t>№ 2262-</w:t>
            </w:r>
            <w:r>
              <w:rPr>
                <w:b w:val="false"/>
                <w:bCs w:val="false"/>
                <w:sz w:val="26"/>
                <w:szCs w:val="26"/>
                <w:shd w:fill="auto" w:val="clear"/>
                <w:lang w:val="en-US"/>
              </w:rPr>
              <w:t xml:space="preserve">XII;  </w:t>
            </w:r>
          </w:p>
          <w:p>
            <w:pPr>
              <w:pStyle w:val="Normal"/>
              <w:widowControl w:val="false"/>
              <w:spacing w:lineRule="exact" w:line="283"/>
              <w:ind w:left="57" w:right="57" w:firstLine="510"/>
              <w:jc w:val="both"/>
              <w:rPr>
                <w:highlight w:val="none"/>
                <w:shd w:fill="auto" w:val="clear"/>
              </w:rPr>
            </w:pPr>
            <w:r>
              <w:rPr>
                <w:b w:val="false"/>
                <w:bCs w:val="false"/>
                <w:i w:val="false"/>
                <w:caps w:val="false"/>
                <w:smallCaps w:val="false"/>
                <w:color w:val="000000"/>
                <w:spacing w:val="0"/>
                <w:sz w:val="26"/>
                <w:szCs w:val="26"/>
                <w:shd w:fill="auto" w:val="clear"/>
              </w:rPr>
              <w:t>Закону України “Про загальнообов’язкове державне соціальне страхування” від 23 вересня 1999 року № 1105-</w:t>
            </w:r>
            <w:r>
              <w:rPr>
                <w:b w:val="false"/>
                <w:bCs w:val="false"/>
                <w:i w:val="false"/>
                <w:caps w:val="false"/>
                <w:smallCaps w:val="false"/>
                <w:color w:val="000000"/>
                <w:spacing w:val="0"/>
                <w:sz w:val="26"/>
                <w:szCs w:val="26"/>
                <w:shd w:fill="auto" w:val="clear"/>
                <w:lang w:val="en-US"/>
              </w:rPr>
              <w:t>XIV;</w:t>
            </w:r>
          </w:p>
          <w:p>
            <w:pPr>
              <w:pStyle w:val="Normal"/>
              <w:widowControl w:val="false"/>
              <w:spacing w:lineRule="exact" w:line="283"/>
              <w:ind w:left="0" w:right="0" w:firstLine="624"/>
              <w:jc w:val="both"/>
              <w:rPr>
                <w:highlight w:val="none"/>
                <w:shd w:fill="auto" w:val="clear"/>
              </w:rPr>
            </w:pPr>
            <w:r>
              <w:rPr>
                <w:caps w:val="false"/>
                <w:smallCaps w:val="false"/>
                <w:color w:val="000000"/>
                <w:spacing w:val="0"/>
                <w:sz w:val="26"/>
                <w:szCs w:val="26"/>
                <w:shd w:fill="auto" w:val="clear"/>
              </w:rPr>
              <w:t>Закон</w:t>
            </w:r>
            <w:r>
              <w:rPr>
                <w:caps w:val="false"/>
                <w:smallCaps w:val="false"/>
                <w:color w:val="000000"/>
                <w:spacing w:val="0"/>
                <w:sz w:val="26"/>
                <w:szCs w:val="26"/>
                <w:shd w:fill="auto" w:val="clear"/>
                <w:lang w:val="uk-UA"/>
              </w:rPr>
              <w:t>у</w:t>
            </w:r>
            <w:r>
              <w:rPr>
                <w:caps w:val="false"/>
                <w:smallCaps w:val="false"/>
                <w:color w:val="000000"/>
                <w:spacing w:val="0"/>
                <w:sz w:val="26"/>
                <w:szCs w:val="26"/>
                <w:shd w:fill="auto" w:val="clear"/>
              </w:rPr>
              <w:t xml:space="preserve"> України</w:t>
            </w:r>
            <w:r>
              <w:rPr>
                <w:b w:val="false"/>
                <w:bCs w:val="false"/>
                <w:i w:val="false"/>
                <w:caps w:val="false"/>
                <w:smallCaps w:val="false"/>
                <w:color w:val="000000"/>
                <w:spacing w:val="0"/>
                <w:sz w:val="26"/>
                <w:szCs w:val="26"/>
                <w:shd w:fill="auto" w:val="clear"/>
              </w:rPr>
              <w:t xml:space="preserve"> “Про статус і соціальний захист громадян, які постраждали внаслідок Чорнобильської катастрофи”</w:t>
            </w:r>
            <w:r>
              <w:rPr>
                <w:caps w:val="false"/>
                <w:smallCaps w:val="false"/>
                <w:color w:val="000000"/>
                <w:spacing w:val="0"/>
                <w:sz w:val="26"/>
                <w:szCs w:val="26"/>
                <w:shd w:fill="auto" w:val="clear"/>
              </w:rPr>
              <w:t xml:space="preserve"> </w:t>
            </w:r>
            <w:r>
              <w:rPr>
                <w:b w:val="false"/>
                <w:bCs w:val="false"/>
                <w:i w:val="false"/>
                <w:caps w:val="false"/>
                <w:smallCaps w:val="false"/>
                <w:color w:val="000000"/>
                <w:spacing w:val="0"/>
                <w:sz w:val="26"/>
                <w:szCs w:val="26"/>
                <w:shd w:fill="auto" w:val="clear"/>
                <w:lang w:val="en-US"/>
              </w:rPr>
              <w:t xml:space="preserve"> від 28 лютого 1991 </w:t>
            </w:r>
            <w:r>
              <w:rPr>
                <w:b w:val="false"/>
                <w:bCs w:val="false"/>
                <w:i w:val="false"/>
                <w:caps w:val="false"/>
                <w:smallCaps w:val="false"/>
                <w:color w:val="000000"/>
                <w:spacing w:val="0"/>
                <w:sz w:val="26"/>
                <w:szCs w:val="26"/>
                <w:shd w:fill="auto" w:val="clear"/>
                <w:lang w:val="uk-UA"/>
              </w:rPr>
              <w:t xml:space="preserve">року </w:t>
            </w:r>
            <w:r>
              <w:rPr>
                <w:b w:val="false"/>
                <w:bCs w:val="false"/>
                <w:i w:val="false"/>
                <w:caps w:val="false"/>
                <w:smallCaps w:val="false"/>
                <w:color w:val="000000"/>
                <w:spacing w:val="0"/>
                <w:sz w:val="26"/>
                <w:szCs w:val="26"/>
                <w:shd w:fill="auto" w:val="clear"/>
                <w:lang w:val="en-US"/>
              </w:rPr>
              <w:t>№ 796-XII;</w:t>
            </w:r>
          </w:p>
          <w:p>
            <w:pPr>
              <w:pStyle w:val="Normal"/>
              <w:widowControl w:val="false"/>
              <w:spacing w:lineRule="exact" w:line="283"/>
              <w:ind w:left="-57" w:right="57" w:firstLine="567"/>
              <w:jc w:val="both"/>
              <w:rPr>
                <w:highlight w:val="none"/>
                <w:shd w:fill="auto" w:val="clear"/>
              </w:rPr>
            </w:pPr>
            <w:r>
              <w:rPr>
                <w:b w:val="false"/>
                <w:bCs w:val="false"/>
                <w:i w:val="false"/>
                <w:caps w:val="false"/>
                <w:smallCaps w:val="false"/>
                <w:color w:val="000000"/>
                <w:spacing w:val="0"/>
                <w:sz w:val="26"/>
                <w:szCs w:val="26"/>
                <w:shd w:fill="auto" w:val="clear"/>
              </w:rPr>
              <w:t>Закону України “Про статус ветеранів війни, гарантії їх соціального захисту” від 22 жовтня 1993 року № 3551-</w:t>
            </w:r>
            <w:r>
              <w:rPr>
                <w:b w:val="false"/>
                <w:bCs w:val="false"/>
                <w:i w:val="false"/>
                <w:caps w:val="false"/>
                <w:smallCaps w:val="false"/>
                <w:color w:val="000000"/>
                <w:spacing w:val="0"/>
                <w:sz w:val="26"/>
                <w:szCs w:val="26"/>
                <w:shd w:fill="auto" w:val="clear"/>
                <w:lang w:val="en-US"/>
              </w:rPr>
              <w:t>XII</w:t>
            </w:r>
            <w:r>
              <w:rPr>
                <w:b w:val="false"/>
                <w:bCs w:val="false"/>
                <w:i w:val="false"/>
                <w:caps w:val="false"/>
                <w:smallCaps w:val="false"/>
                <w:color w:val="000000"/>
                <w:spacing w:val="0"/>
                <w:sz w:val="26"/>
                <w:szCs w:val="26"/>
                <w:shd w:fill="auto" w:val="clear"/>
              </w:rPr>
              <w:t>;</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Порядку надання пільг окремим категоріям громадян з урахуванням середньомісячного сукупного доходу сім’ї” від 04 червня 2015 року № 389;</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Положення про Пенсійний фонд України” від 23 липня 2014 року № 280;</w:t>
            </w:r>
          </w:p>
          <w:p>
            <w:pPr>
              <w:pStyle w:val="Normal"/>
              <w:widowControl w:val="false"/>
              <w:spacing w:lineRule="exact" w:line="283"/>
              <w:ind w:left="0" w:right="57" w:firstLine="567"/>
              <w:jc w:val="both"/>
              <w:rPr>
                <w:highlight w:val="none"/>
                <w:shd w:fill="auto" w:val="clear"/>
              </w:rPr>
            </w:pPr>
            <w:r>
              <w:rPr>
                <w:b w:val="false"/>
                <w:bCs w:val="false"/>
                <w:i w:val="false"/>
                <w:caps w:val="false"/>
                <w:smallCaps w:val="false"/>
                <w:color w:val="000000"/>
                <w:spacing w:val="0"/>
                <w:sz w:val="26"/>
                <w:szCs w:val="26"/>
                <w:shd w:fill="auto" w:val="clear"/>
              </w:rPr>
              <w:t xml:space="preserve">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від 25 листопада 2005 року № 22-1 </w:t>
            </w:r>
            <w:r>
              <w:rPr>
                <w:b w:val="false"/>
                <w:bCs w:val="false"/>
                <w:i w:val="false"/>
                <w:caps w:val="false"/>
                <w:smallCaps w:val="false"/>
                <w:color w:val="000000"/>
                <w:spacing w:val="0"/>
                <w:sz w:val="26"/>
                <w:szCs w:val="26"/>
                <w:shd w:fill="auto" w:val="clear"/>
                <w:lang w:val="en-US"/>
              </w:rPr>
              <w:t>;</w:t>
            </w:r>
          </w:p>
          <w:p>
            <w:pPr>
              <w:pStyle w:val="Normal"/>
              <w:widowControl w:val="false"/>
              <w:spacing w:lineRule="exact" w:line="283"/>
              <w:ind w:left="57" w:right="57" w:firstLine="510"/>
              <w:jc w:val="both"/>
              <w:rPr>
                <w:highlight w:val="none"/>
                <w:shd w:fill="auto" w:val="clear"/>
              </w:rPr>
            </w:pPr>
            <w:r>
              <w:rPr>
                <w:b w:val="false"/>
                <w:bCs w:val="false"/>
                <w:color w:val="000000"/>
                <w:sz w:val="26"/>
                <w:szCs w:val="26"/>
                <w:shd w:fill="auto" w:val="clear"/>
              </w:rPr>
              <w:t>Постанови правління Пенсійного фонду України “Про внесення змін до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02 березня 2023 року № 10-1;</w:t>
            </w:r>
          </w:p>
          <w:p>
            <w:pPr>
              <w:pStyle w:val="Normal"/>
              <w:widowControl w:val="false"/>
              <w:spacing w:lineRule="exact" w:line="283"/>
              <w:ind w:left="57" w:right="57" w:firstLine="510"/>
              <w:jc w:val="both"/>
              <w:rPr>
                <w:highlight w:val="none"/>
                <w:shd w:fill="FFFF00" w:val="clear"/>
              </w:rPr>
            </w:pPr>
            <w:r>
              <w:rPr>
                <w:b w:val="false"/>
                <w:bCs w:val="false"/>
                <w:i w:val="false"/>
                <w:caps w:val="false"/>
                <w:smallCaps w:val="false"/>
                <w:color w:val="000000"/>
                <w:spacing w:val="0"/>
                <w:sz w:val="26"/>
                <w:szCs w:val="26"/>
                <w:shd w:fill="auto" w:val="clear"/>
              </w:rPr>
              <w:t>Постанови правління Пенсійного фонду України “Про порядок оформлення, виготовлення</w:t>
            </w:r>
            <w:r>
              <w:rPr>
                <w:b w:val="false"/>
                <w:bCs w:val="false"/>
                <w:i w:val="false"/>
                <w:caps w:val="false"/>
                <w:smallCaps w:val="false"/>
                <w:color w:val="000000"/>
                <w:spacing w:val="0"/>
                <w:sz w:val="26"/>
                <w:szCs w:val="26"/>
                <w:shd w:fill="FFFF00" w:val="clear"/>
              </w:rPr>
              <w:t xml:space="preserve"> </w:t>
            </w:r>
            <w:r>
              <w:rPr>
                <w:b w:val="false"/>
                <w:bCs w:val="false"/>
                <w:i w:val="false"/>
                <w:caps w:val="false"/>
                <w:smallCaps w:val="false"/>
                <w:color w:val="000000"/>
                <w:spacing w:val="0"/>
                <w:sz w:val="26"/>
                <w:szCs w:val="26"/>
                <w:shd w:fill="auto" w:val="clear"/>
              </w:rPr>
              <w:t>та видачі документів, що підтверджують призначення особі пенсії” від 03 листопада 2017 року  № 26-1;</w:t>
            </w:r>
          </w:p>
          <w:p>
            <w:pPr>
              <w:pStyle w:val="Normal"/>
              <w:widowControl w:val="false"/>
              <w:spacing w:lineRule="exact" w:line="283"/>
              <w:ind w:left="57" w:right="57" w:firstLine="510"/>
              <w:jc w:val="both"/>
              <w:rPr>
                <w:highlight w:val="none"/>
                <w:shd w:fill="auto" w:val="clear"/>
              </w:rPr>
            </w:pPr>
            <w:r>
              <w:rPr>
                <w:b w:val="false"/>
                <w:bCs w:val="false"/>
                <w:i w:val="false"/>
                <w:caps w:val="false"/>
                <w:smallCaps w:val="false"/>
                <w:color w:val="000000"/>
                <w:spacing w:val="0"/>
                <w:sz w:val="26"/>
                <w:szCs w:val="26"/>
                <w:shd w:fill="auto" w:val="clear"/>
              </w:rPr>
              <w:t>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30 січня 2007 року № 3-1;</w:t>
            </w:r>
          </w:p>
          <w:p>
            <w:pPr>
              <w:pStyle w:val="Normal"/>
              <w:widowControl w:val="false"/>
              <w:suppressAutoHyphens w:val="true"/>
              <w:overflowPunct w:val="false"/>
              <w:bidi w:val="0"/>
              <w:spacing w:lineRule="exact" w:line="283" w:before="0" w:after="0"/>
              <w:ind w:left="57" w:right="57" w:firstLine="510"/>
              <w:jc w:val="both"/>
              <w:rPr>
                <w:highlight w:val="none"/>
                <w:shd w:fill="auto" w:val="clear"/>
              </w:rPr>
            </w:pPr>
            <w:bookmarkStart w:id="2" w:name="Про_спрощення_порядку_надання_населенню_"/>
            <w:bookmarkEnd w:id="1"/>
            <w:bookmarkEnd w:id="2"/>
            <w:r>
              <w:rPr>
                <w:b w:val="false"/>
                <w:bCs w:val="false"/>
                <w:i w:val="false"/>
                <w:caps w:val="false"/>
                <w:smallCaps w:val="false"/>
                <w:color w:val="000000"/>
                <w:spacing w:val="0"/>
                <w:sz w:val="26"/>
                <w:szCs w:val="26"/>
                <w:shd w:fill="auto" w:val="clear"/>
              </w:rPr>
              <w:t xml:space="preserve">Постанови правління Пенсійного фонду України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від 26 січня 2024 року № 4-1. </w:t>
            </w:r>
          </w:p>
        </w:tc>
      </w:tr>
    </w:tbl>
    <w:p>
      <w:pPr>
        <w:pStyle w:val="Normal"/>
        <w:suppressAutoHyphens w:val="false"/>
        <w:snapToGrid w:val="false"/>
        <w:jc w:val="center"/>
        <w:rPr/>
      </w:pPr>
      <w:r>
        <w:rPr/>
      </w:r>
    </w:p>
    <w:p>
      <w:pPr>
        <w:pStyle w:val="Normal"/>
        <w:suppressAutoHyphens w:val="false"/>
        <w:snapToGrid w:val="false"/>
        <w:jc w:val="center"/>
        <w:rPr/>
      </w:pPr>
      <w:r>
        <w:rPr/>
        <w:t>______________________________</w:t>
      </w:r>
    </w:p>
    <w:sectPr>
      <w:headerReference w:type="default" r:id="rId3"/>
      <w:headerReference w:type="first" r:id="rId4"/>
      <w:type w:val="nextPage"/>
      <w:pgSz w:w="11906" w:h="16838"/>
      <w:pgMar w:left="1701" w:right="567" w:gutter="0" w:header="1134" w:top="1716" w:footer="0" w:bottom="1134"/>
      <w:pgNumType w:fmt="decimal"/>
      <w:formProt w:val="false"/>
      <w:titlePg/>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right"/>
      <w:rPr/>
    </w:pPr>
    <w:r>
      <w:rPr>
        <w:sz w:val="26"/>
        <w:szCs w:val="26"/>
      </w:rPr>
      <w:fldChar w:fldCharType="begin"/>
    </w:r>
    <w:r>
      <w:rPr>
        <w:sz w:val="26"/>
        <w:szCs w:val="26"/>
      </w:rPr>
      <w:instrText xml:space="preserve"> PAGE </w:instrText>
    </w:r>
    <w:r>
      <w:rPr>
        <w:sz w:val="26"/>
        <w:szCs w:val="26"/>
      </w:rPr>
      <w:fldChar w:fldCharType="separate"/>
    </w:r>
    <w:r>
      <w:rPr>
        <w:sz w:val="26"/>
        <w:szCs w:val="26"/>
      </w:rPr>
      <w:t>6</w:t>
    </w:r>
    <w:r>
      <w:rPr>
        <w:sz w:val="26"/>
        <w:szCs w:val="26"/>
      </w:rPr>
      <w:fldChar w:fldCharType="end"/>
    </w:r>
    <w:r>
      <w:rPr>
        <w:sz w:val="26"/>
        <w:szCs w:val="26"/>
      </w:rPr>
      <w:t xml:space="preserve">                                        </w:t>
    </w:r>
    <w:r>
      <w:rPr>
        <w:sz w:val="26"/>
        <w:szCs w:val="26"/>
      </w:rPr>
      <w:t>Продовження додатка</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qFormat/>
    <w:pPr>
      <w:keepNext w:val="true"/>
      <w:outlineLvl w:val="0"/>
    </w:pPr>
    <w:rPr>
      <w:b/>
      <w:sz w:val="28"/>
    </w:rPr>
  </w:style>
  <w:style w:type="paragraph" w:styleId="2">
    <w:name w:val="Heading 2"/>
    <w:basedOn w:val="Normal"/>
    <w:next w:val="Normal"/>
    <w:qFormat/>
    <w:pPr>
      <w:keepNext w:val="true"/>
      <w:jc w:val="center"/>
      <w:outlineLvl w:val="1"/>
    </w:pPr>
    <w:rPr>
      <w:b/>
      <w:sz w:val="32"/>
      <w:lang w:val="ru-RU"/>
    </w:rPr>
  </w:style>
  <w:style w:type="paragraph" w:styleId="3">
    <w:name w:val="Heading 3"/>
    <w:basedOn w:val="Normal"/>
    <w:next w:val="Normal"/>
    <w:qFormat/>
    <w:pPr>
      <w:keepNext w:val="true"/>
      <w:spacing w:lineRule="atLeast" w:line="240"/>
      <w:outlineLvl w:val="2"/>
    </w:pPr>
    <w:rPr>
      <w:sz w:val="28"/>
    </w:rPr>
  </w:style>
  <w:style w:type="paragraph" w:styleId="4">
    <w:name w:val="Heading 4"/>
    <w:basedOn w:val="Normal"/>
    <w:next w:val="Normal"/>
    <w:qFormat/>
    <w:pPr>
      <w:keepNext w:val="true"/>
      <w:spacing w:lineRule="atLeast" w:line="240"/>
      <w:ind w:left="0" w:right="3712" w:hanging="0"/>
      <w:outlineLvl w:val="3"/>
    </w:pPr>
    <w:rPr>
      <w:b/>
      <w:sz w:val="28"/>
    </w:rPr>
  </w:style>
  <w:style w:type="paragraph" w:styleId="5">
    <w:name w:val="Heading 5"/>
    <w:basedOn w:val="Normal"/>
    <w:next w:val="Normal"/>
    <w:qFormat/>
    <w:pPr>
      <w:keepNext w:val="true"/>
      <w:jc w:val="right"/>
      <w:outlineLvl w:val="4"/>
    </w:pPr>
    <w:rPr>
      <w:sz w:val="24"/>
      <w:lang w:val="en-US"/>
    </w:rPr>
  </w:style>
  <w:style w:type="paragraph" w:styleId="6">
    <w:name w:val="Heading 6"/>
    <w:basedOn w:val="Style9"/>
    <w:qFormat/>
    <w:pPr>
      <w:outlineLvl w:val="5"/>
    </w:pPr>
    <w:rPr>
      <w:b/>
      <w:bCs/>
      <w:sz w:val="21"/>
      <w:szCs w:val="21"/>
    </w:rPr>
  </w:style>
  <w:style w:type="paragraph" w:styleId="7">
    <w:name w:val="Heading 7"/>
    <w:basedOn w:val="Style9"/>
    <w:qFormat/>
    <w:pPr>
      <w:outlineLvl w:val="6"/>
    </w:pPr>
    <w:rPr>
      <w:b/>
      <w:bCs/>
      <w:sz w:val="21"/>
      <w:szCs w:val="21"/>
    </w:rPr>
  </w:style>
  <w:style w:type="paragraph" w:styleId="8">
    <w:name w:val="Heading 8"/>
    <w:basedOn w:val="Style9"/>
    <w:qFormat/>
    <w:pPr>
      <w:outlineLvl w:val="7"/>
    </w:pPr>
    <w:rPr>
      <w:b/>
      <w:bCs/>
      <w:sz w:val="21"/>
      <w:szCs w:val="21"/>
    </w:rPr>
  </w:style>
  <w:style w:type="paragraph" w:styleId="9">
    <w:name w:val="Heading 9"/>
    <w:basedOn w:val="Style9"/>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basedOn w:val="DefaultParagraphFont"/>
    <w:qFormat/>
    <w:rPr>
      <w:rFonts w:eastAsia="Times New Roman"/>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fals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31">
    <w:name w:val="Название3"/>
    <w:basedOn w:val="Normal"/>
    <w:qFormat/>
    <w:pPr>
      <w:spacing w:before="120" w:after="120"/>
    </w:pPr>
    <w:rPr>
      <w:rFonts w:cs="Mangal"/>
      <w:i/>
      <w:iCs/>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Style31">
    <w:name w:val="Содержимое фрейма"/>
    <w:qFormat/>
    <w:pPr>
      <w:widowControl/>
      <w:suppressAutoHyphens w:val="true"/>
      <w:overflowPunct w:val="fals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Style32">
    <w:name w:val="Вміст рам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2087</TotalTime>
  <Application>LibreOffice/7.4.3.2$Windows_X86_64 LibreOffice_project/1048a8393ae2eeec98dff31b5c133c5f1d08b890</Application>
  <AppVersion>15.0000</AppVersion>
  <Pages>6</Pages>
  <Words>1233</Words>
  <Characters>8545</Characters>
  <CharactersWithSpaces>9726</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2025-06-04T11:56:38Z</dcterms:modified>
  <cp:revision>351</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