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sz w:val="26"/>
          <w:szCs w:val="26"/>
        </w:rPr>
      </w:pPr>
      <w:r>
        <w:rPr>
          <w:sz w:val="26"/>
          <w:szCs w:val="26"/>
        </w:rPr>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sz w:val="26"/>
          <w:szCs w:val="26"/>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left="5556" w:right="0" w:hanging="0"/>
        <w:jc w:val="left"/>
        <w:rPr>
          <w:sz w:val="26"/>
          <w:szCs w:val="26"/>
        </w:rPr>
      </w:pPr>
      <w:r>
        <w:rPr>
          <w:sz w:val="26"/>
          <w:szCs w:val="26"/>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державної служби категорії “В”-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 xml:space="preserve"> </w:t>
      </w:r>
      <w:r>
        <w:rPr>
          <w:rFonts w:eastAsia="Times New Roman" w:cs="Times New Roman"/>
          <w:b w:val="false"/>
          <w:bCs w:val="false"/>
          <w:i w:val="false"/>
          <w:iCs w:val="false"/>
          <w:strike w:val="false"/>
          <w:dstrike w:val="false"/>
          <w:outline w:val="false"/>
          <w:shadow w:val="false"/>
          <w:color w:val="000000"/>
          <w:sz w:val="28"/>
          <w:szCs w:val="28"/>
          <w:u w:val="none"/>
          <w:shd w:fill="FFFFFF" w:val="clear"/>
          <w:lang w:val="uk-UA" w:eastAsia="uk-UA" w:bidi="uk-UA"/>
        </w:rPr>
        <w:t xml:space="preserve">головний спеціаліст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відділу контрольно-перевірочної роботи № 2</w:t>
      </w:r>
    </w:p>
    <w:p>
      <w:pPr>
        <w:pStyle w:val="Normal"/>
        <w:suppressAutoHyphens w:val="true"/>
        <w:snapToGrid w:val="false"/>
        <w:jc w:val="center"/>
        <w:rPr>
          <w:sz w:val="26"/>
          <w:szCs w:val="26"/>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val="uk-UA" w:eastAsia="uk-UA" w:bidi="uk-UA"/>
        </w:rPr>
        <w:t>Управління контрольно-перевірочної роботи</w:t>
      </w:r>
    </w:p>
    <w:p>
      <w:pPr>
        <w:pStyle w:val="Normal"/>
        <w:suppressAutoHyphens w:val="true"/>
        <w:snapToGrid w:val="false"/>
        <w:jc w:val="center"/>
        <w:rPr>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(класифікаційний код посади 7</w:t>
      </w:r>
      <w:r>
        <w:rPr>
          <w:rFonts w:eastAsia="NSimSun" w:cs="Times New Roman"/>
          <w:b w:val="false"/>
          <w:bCs w:val="false"/>
          <w:color w:val="000000"/>
          <w:kern w:val="2"/>
          <w:sz w:val="26"/>
          <w:szCs w:val="26"/>
          <w:shd w:fill="auto" w:val="clear"/>
          <w:lang w:val="uk-UA" w:eastAsia="zh-CN" w:bidi="hi-IN"/>
        </w:rPr>
        <w:t>-VІІ</w:t>
      </w:r>
      <w:r>
        <w:rPr>
          <w:rFonts w:eastAsia="NSimSun" w:cs="Times New Roman"/>
          <w:b w:val="false"/>
          <w:bCs w:val="false"/>
          <w:color w:val="000000"/>
          <w:kern w:val="2"/>
          <w:sz w:val="26"/>
          <w:szCs w:val="26"/>
          <w:shd w:fill="auto" w:val="clear"/>
          <w:lang w:val="en-US"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w:t>
      </w:r>
      <w:r>
        <w:rPr>
          <w:b w:val="false"/>
          <w:bCs w:val="false"/>
          <w:color w:val="000000"/>
          <w:sz w:val="26"/>
          <w:szCs w:val="26"/>
        </w:rPr>
        <w:t>м. Луцьк</w:t>
      </w:r>
      <w:r>
        <w:rPr>
          <w:rFonts w:eastAsia="Times New Roman" w:cs="Times New Roman"/>
          <w:b w:val="false"/>
          <w:bCs w:val="false"/>
          <w:color w:val="000000"/>
          <w:sz w:val="26"/>
          <w:szCs w:val="26"/>
        </w:rPr>
        <w:t xml:space="preserve">, </w:t>
      </w:r>
      <w:r>
        <w:rPr>
          <w:rFonts w:eastAsia="Times New Roman" w:cs="Times New Roman"/>
          <w:b w:val="false"/>
          <w:bCs w:val="false"/>
          <w:color w:val="000000"/>
          <w:sz w:val="26"/>
          <w:szCs w:val="26"/>
          <w:lang w:val="uk-UA"/>
        </w:rPr>
        <w:t>вул. Кравчука, 22В</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6"/>
        <w:gridCol w:w="2960"/>
        <w:gridCol w:w="3"/>
        <w:gridCol w:w="6186"/>
      </w:tblGrid>
      <w:tr>
        <w:trPr/>
        <w:tc>
          <w:tcPr>
            <w:tcW w:w="9705" w:type="dxa"/>
            <w:gridSpan w:val="4"/>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Загальні умови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186" w:type="dxa"/>
            <w:tcBorders>
              <w:left w:val="single" w:sz="2" w:space="0" w:color="000000"/>
              <w:bottom w:val="single" w:sz="2" w:space="0" w:color="000000"/>
              <w:right w:val="single" w:sz="2" w:space="0" w:color="000000"/>
            </w:tcBorders>
            <w:shd w:fill="auto" w:val="clear"/>
          </w:tcPr>
          <w:p>
            <w:pPr>
              <w:pStyle w:val="Style24"/>
              <w:widowControl w:val="false"/>
              <w:ind w:left="0" w:right="0" w:firstLine="283"/>
              <w:jc w:val="both"/>
              <w:rPr>
                <w:sz w:val="26"/>
                <w:szCs w:val="26"/>
              </w:rPr>
            </w:pPr>
            <w:r>
              <w:rPr>
                <w:rFonts w:ascii="Times New Roman" w:hAnsi="Times New Roman"/>
                <w:sz w:val="26"/>
                <w:szCs w:val="26"/>
              </w:rPr>
              <w:t xml:space="preserve">1) Здійснення контрольних заходів щодо </w:t>
            </w:r>
            <w:r>
              <w:rPr>
                <w:rFonts w:ascii="Times New Roman" w:hAnsi="Times New Roman"/>
                <w:color w:val="000000"/>
                <w:sz w:val="26"/>
                <w:szCs w:val="26"/>
              </w:rPr>
              <w:t>обґрунтованості видачі, продовження листків непрацездатності та документів, що є підставою для їх формування, у тому числі на базі інформації, що міститься в електронних системах та реєстрах</w:t>
            </w:r>
            <w:r>
              <w:rPr>
                <w:rFonts w:ascii="Times New Roman" w:hAnsi="Times New Roman"/>
                <w:sz w:val="26"/>
                <w:szCs w:val="26"/>
              </w:rPr>
              <w:t>;</w:t>
            </w:r>
          </w:p>
          <w:p>
            <w:pPr>
              <w:pStyle w:val="Style24"/>
              <w:widowControl w:val="false"/>
              <w:ind w:left="0" w:right="0" w:firstLine="283"/>
              <w:jc w:val="both"/>
              <w:rPr>
                <w:sz w:val="26"/>
                <w:szCs w:val="26"/>
              </w:rPr>
            </w:pPr>
            <w:r>
              <w:rPr>
                <w:rFonts w:ascii="Times New Roman" w:hAnsi="Times New Roman"/>
                <w:sz w:val="26"/>
                <w:szCs w:val="26"/>
              </w:rPr>
              <w:t>2) Складання довідки перевірки обґрунтованості видачі та продовження листків непрацездатності за результатами перевірки; здійснювати моніторинг стану виконання усунення виявлених порушень;</w:t>
            </w:r>
          </w:p>
          <w:p>
            <w:pPr>
              <w:pStyle w:val="Style24"/>
              <w:widowControl w:val="false"/>
              <w:ind w:left="0" w:right="0" w:firstLine="283"/>
              <w:jc w:val="both"/>
              <w:rPr>
                <w:sz w:val="26"/>
                <w:szCs w:val="26"/>
              </w:rPr>
            </w:pPr>
            <w:r>
              <w:rPr>
                <w:rFonts w:ascii="Times New Roman" w:hAnsi="Times New Roman"/>
                <w:sz w:val="26"/>
                <w:szCs w:val="26"/>
              </w:rPr>
              <w:t>3) Підготовка</w:t>
            </w:r>
            <w:r>
              <w:rPr>
                <w:rFonts w:ascii="Times New Roman" w:hAnsi="Times New Roman"/>
                <w:sz w:val="26"/>
                <w:szCs w:val="26"/>
                <w:lang w:val="uk-UA"/>
              </w:rPr>
              <w:t xml:space="preserve"> вимог про компенсацію страхової виплати, профінансованої на підставі необґрунтовано виданого / продовженого листка непрацездатності. В</w:t>
            </w:r>
            <w:r>
              <w:rPr>
                <w:rFonts w:eastAsia="Times New Roman" w:ascii="Times New Roman" w:hAnsi="Times New Roman"/>
                <w:sz w:val="26"/>
                <w:szCs w:val="26"/>
                <w:lang w:val="uk-UA"/>
              </w:rPr>
              <w:t xml:space="preserve"> межах компетенції </w:t>
            </w:r>
            <w:bookmarkStart w:id="0" w:name="_GoBack"/>
            <w:bookmarkEnd w:id="0"/>
            <w:r>
              <w:rPr>
                <w:rFonts w:eastAsia="Times New Roman" w:ascii="Times New Roman" w:hAnsi="Times New Roman"/>
                <w:sz w:val="26"/>
                <w:szCs w:val="26"/>
                <w:lang w:val="uk-UA"/>
              </w:rPr>
              <w:t>дотримуватись вимог Закону України “Про адміністративну процедуру”</w:t>
            </w:r>
            <w:r>
              <w:rPr>
                <w:rFonts w:ascii="Times New Roman" w:hAnsi="Times New Roman"/>
                <w:sz w:val="26"/>
                <w:szCs w:val="26"/>
              </w:rPr>
              <w:t>;</w:t>
            </w:r>
          </w:p>
          <w:p>
            <w:pPr>
              <w:pStyle w:val="Style24"/>
              <w:widowControl w:val="false"/>
              <w:ind w:left="0" w:right="0" w:firstLine="283"/>
              <w:jc w:val="both"/>
              <w:rPr>
                <w:sz w:val="26"/>
                <w:szCs w:val="26"/>
              </w:rPr>
            </w:pPr>
            <w:r>
              <w:rPr>
                <w:rFonts w:ascii="Times New Roman" w:hAnsi="Times New Roman"/>
                <w:sz w:val="26"/>
                <w:szCs w:val="26"/>
              </w:rPr>
              <w:t>4) </w:t>
            </w:r>
            <w:r>
              <w:rPr>
                <w:rFonts w:ascii="Times New Roman" w:hAnsi="Times New Roman"/>
                <w:sz w:val="26"/>
                <w:szCs w:val="26"/>
                <w:lang w:val="uk-UA"/>
              </w:rPr>
              <w:t>Здійснення ризик-орієнтованого моніторингу відомостей електронного реєстру листків непрацездатності з використанням автоматизованої інформаційно-аналітичної системи Пенсійного фонду України</w:t>
            </w:r>
            <w:r>
              <w:rPr>
                <w:rFonts w:ascii="Times New Roman" w:hAnsi="Times New Roman"/>
                <w:sz w:val="26"/>
                <w:szCs w:val="26"/>
              </w:rPr>
              <w:t>;</w:t>
            </w:r>
          </w:p>
          <w:p>
            <w:pPr>
              <w:pStyle w:val="Style24"/>
              <w:widowControl w:val="false"/>
              <w:ind w:left="0" w:right="0" w:firstLine="283"/>
              <w:jc w:val="both"/>
              <w:rPr>
                <w:sz w:val="26"/>
                <w:szCs w:val="26"/>
              </w:rPr>
            </w:pPr>
            <w:r>
              <w:rPr>
                <w:rFonts w:ascii="Times New Roman" w:hAnsi="Times New Roman"/>
                <w:sz w:val="26"/>
                <w:szCs w:val="26"/>
              </w:rPr>
              <w:t>5) </w:t>
            </w:r>
            <w:r>
              <w:rPr>
                <w:rFonts w:eastAsia="Times New Roman" w:ascii="Times New Roman" w:hAnsi="Times New Roman"/>
                <w:color w:val="000000"/>
                <w:sz w:val="26"/>
                <w:szCs w:val="26"/>
                <w:lang w:val="uk-UA"/>
              </w:rPr>
              <w:t>Внесення відомостей за результатами перевірок обґрунтованості видачі та продовження листків непрацездатності в інформаційну підсистему «Контрольно-перевірочна робота»</w:t>
            </w:r>
            <w:r>
              <w:rPr>
                <w:rFonts w:ascii="Times New Roman" w:hAnsi="Times New Roman"/>
                <w:sz w:val="26"/>
                <w:szCs w:val="26"/>
              </w:rPr>
              <w:t>;</w:t>
            </w:r>
          </w:p>
          <w:p>
            <w:pPr>
              <w:pStyle w:val="Style24"/>
              <w:widowControl w:val="false"/>
              <w:ind w:left="0" w:right="0" w:firstLine="283"/>
              <w:jc w:val="both"/>
              <w:rPr>
                <w:sz w:val="26"/>
                <w:szCs w:val="26"/>
              </w:rPr>
            </w:pPr>
            <w:r>
              <w:rPr>
                <w:rFonts w:ascii="Times New Roman" w:hAnsi="Times New Roman"/>
                <w:sz w:val="26"/>
                <w:szCs w:val="26"/>
              </w:rPr>
              <w:t>6) Внесення змін причин непрацездатності в Електронному реєстрі листків непрацездатності у разі встановлення нещасного випадку на виробництві або профзахворювання застрахованої особи;</w:t>
            </w:r>
          </w:p>
          <w:p>
            <w:pPr>
              <w:pStyle w:val="Style24"/>
              <w:widowControl w:val="false"/>
              <w:ind w:left="0" w:right="0" w:firstLine="283"/>
              <w:jc w:val="both"/>
              <w:rPr>
                <w:sz w:val="26"/>
                <w:szCs w:val="26"/>
              </w:rPr>
            </w:pPr>
            <w:r>
              <w:rPr>
                <w:rFonts w:ascii="Times New Roman" w:hAnsi="Times New Roman"/>
                <w:sz w:val="26"/>
                <w:szCs w:val="26"/>
              </w:rPr>
              <w:t>7) </w:t>
            </w:r>
            <w:r>
              <w:rPr>
                <w:rFonts w:ascii="Times New Roman" w:hAnsi="Times New Roman"/>
                <w:color w:val="000000"/>
                <w:sz w:val="26"/>
                <w:szCs w:val="26"/>
              </w:rPr>
              <w:t>Надання інформації, необхідної для формування щомісячної та квартальної звітності з питань, що належать до компетенції Відділу;</w:t>
            </w:r>
          </w:p>
          <w:p>
            <w:pPr>
              <w:pStyle w:val="Style24"/>
              <w:widowControl w:val="false"/>
              <w:ind w:left="0" w:right="0" w:firstLine="283"/>
              <w:jc w:val="both"/>
              <w:rPr>
                <w:sz w:val="26"/>
                <w:szCs w:val="26"/>
              </w:rPr>
            </w:pPr>
            <w:r>
              <w:rPr>
                <w:rFonts w:ascii="Times New Roman" w:hAnsi="Times New Roman"/>
                <w:color w:val="000000"/>
                <w:sz w:val="26"/>
                <w:szCs w:val="26"/>
              </w:rPr>
              <w:t>8) Підготовка відповідей на звернення, заяви та скарги громадян, підприємств, установ та організацій, посадових</w:t>
            </w:r>
            <w:r>
              <w:rPr>
                <w:rFonts w:ascii="Times New Roman" w:hAnsi="Times New Roman"/>
                <w:color w:val="000000"/>
                <w:sz w:val="24"/>
                <w:szCs w:val="24"/>
              </w:rPr>
              <w:t xml:space="preserve"> </w:t>
            </w:r>
            <w:r>
              <w:rPr>
                <w:rFonts w:ascii="Times New Roman" w:hAnsi="Times New Roman"/>
                <w:color w:val="000000"/>
                <w:sz w:val="26"/>
                <w:szCs w:val="26"/>
              </w:rPr>
              <w:t>осіб, запитів та звернень народних депутатів України, запитів на інформацію; забезпечення в межах своєї компетенції дотримання законодавства про інформацію та доступ до публічної інформації та персональних даних;</w:t>
            </w:r>
          </w:p>
          <w:p>
            <w:pPr>
              <w:pStyle w:val="Style24"/>
              <w:widowControl w:val="false"/>
              <w:ind w:left="0" w:right="0" w:firstLine="283"/>
              <w:jc w:val="both"/>
              <w:rPr>
                <w:sz w:val="26"/>
                <w:szCs w:val="26"/>
              </w:rPr>
            </w:pPr>
            <w:r>
              <w:rPr>
                <w:rFonts w:ascii="Times New Roman" w:hAnsi="Times New Roman"/>
                <w:color w:val="000000"/>
                <w:sz w:val="26"/>
                <w:szCs w:val="26"/>
              </w:rPr>
              <w:t>9) </w:t>
            </w:r>
            <w:r>
              <w:rPr>
                <w:rFonts w:eastAsia="Mangal" w:ascii="Times New Roman" w:hAnsi="Times New Roman"/>
                <w:color w:val="000000"/>
                <w:sz w:val="26"/>
                <w:szCs w:val="26"/>
              </w:rPr>
              <w:t>Здійснення</w:t>
            </w:r>
            <w:r>
              <w:rPr>
                <w:rFonts w:ascii="Times New Roman" w:hAnsi="Times New Roman"/>
                <w:color w:val="000000"/>
                <w:sz w:val="26"/>
                <w:szCs w:val="26"/>
              </w:rPr>
              <w:t xml:space="preserve"> роботи з укомплектування, зберігання, обліку, використання та архівування документів відділу, а також загального ведення діловодного процесу;</w:t>
            </w:r>
          </w:p>
          <w:p>
            <w:pPr>
              <w:pStyle w:val="Style24"/>
              <w:widowControl w:val="false"/>
              <w:ind w:left="0" w:right="0" w:firstLine="283"/>
              <w:jc w:val="both"/>
              <w:rPr>
                <w:sz w:val="26"/>
                <w:szCs w:val="26"/>
              </w:rPr>
            </w:pPr>
            <w:r>
              <w:rPr>
                <w:rFonts w:ascii="Times New Roman" w:hAnsi="Times New Roman"/>
                <w:color w:val="000000"/>
                <w:sz w:val="26"/>
                <w:szCs w:val="26"/>
              </w:rPr>
              <w:t>10) Забезпечення в межах своєї компетенції дотримання законодавства про інформацію та доступ до публічної інформації та персональних даних; виконання інших доручень</w:t>
            </w:r>
            <w:r>
              <w:rPr>
                <w:rFonts w:ascii="Times New Roman" w:hAnsi="Times New Roman"/>
                <w:color w:val="000000"/>
                <w:sz w:val="26"/>
                <w:szCs w:val="26"/>
                <w:lang w:val="ru-RU"/>
              </w:rPr>
              <w:t xml:space="preserve"> </w:t>
            </w:r>
            <w:r>
              <w:rPr>
                <w:rFonts w:ascii="Times New Roman" w:hAnsi="Times New Roman"/>
                <w:color w:val="000000"/>
                <w:sz w:val="26"/>
                <w:szCs w:val="26"/>
              </w:rPr>
              <w:t>начальника відділу та начальника Управління.</w:t>
            </w:r>
          </w:p>
        </w:tc>
      </w:tr>
      <w:tr>
        <w:trPr>
          <w:trHeight w:val="1312" w:hRule="atLeast"/>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sz w:val="26"/>
                <w:szCs w:val="26"/>
              </w:rPr>
            </w:pPr>
            <w:r>
              <w:rPr>
                <w:sz w:val="26"/>
                <w:szCs w:val="26"/>
                <w:lang w:val="uk-UA"/>
              </w:rPr>
              <w:t>П</w:t>
            </w:r>
            <w:r>
              <w:rPr>
                <w:sz w:val="26"/>
                <w:szCs w:val="26"/>
              </w:rPr>
              <w:t>осадовий оклад — 20795,00</w:t>
            </w:r>
            <w:r>
              <w:rPr>
                <w:sz w:val="26"/>
                <w:szCs w:val="26"/>
                <w:lang w:val="uk-UA" w:eastAsia="zh-CN" w:bidi="ar-SA"/>
              </w:rPr>
              <w:t xml:space="preserve"> грн згідно зі штатним розписом;</w:t>
            </w:r>
          </w:p>
          <w:p>
            <w:pPr>
              <w:pStyle w:val="Normal"/>
              <w:widowControl w:val="false"/>
              <w:suppressAutoHyphens w:val="true"/>
              <w:overflowPunct w:val="false"/>
              <w:bidi w:val="0"/>
              <w:spacing w:before="0" w:after="0"/>
              <w:ind w:left="57" w:right="57" w:firstLine="624"/>
              <w:jc w:val="both"/>
              <w:rPr>
                <w:sz w:val="26"/>
                <w:szCs w:val="26"/>
              </w:rPr>
            </w:pPr>
            <w:r>
              <w:rPr>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overflowPunct w:val="false"/>
              <w:bidi w:val="0"/>
              <w:spacing w:before="0" w:after="0"/>
              <w:ind w:left="57" w:right="57" w:firstLine="567"/>
              <w:jc w:val="both"/>
              <w:rPr>
                <w:sz w:val="26"/>
                <w:szCs w:val="26"/>
              </w:rPr>
            </w:pPr>
            <w:r>
              <w:rPr>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p>
          <w:p>
            <w:pPr>
              <w:pStyle w:val="Normal"/>
              <w:widowControl w:val="false"/>
              <w:suppressAutoHyphens w:val="true"/>
              <w:overflowPunct w:val="false"/>
              <w:bidi w:val="0"/>
              <w:spacing w:before="0" w:after="0"/>
              <w:ind w:left="57" w:right="57" w:firstLine="510"/>
              <w:jc w:val="both"/>
              <w:rPr>
                <w:sz w:val="26"/>
                <w:szCs w:val="26"/>
              </w:rPr>
            </w:pPr>
            <w:r>
              <w:rPr>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186"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10"/>
              <w:jc w:val="both"/>
              <w:rPr>
                <w:sz w:val="26"/>
                <w:szCs w:val="26"/>
              </w:rPr>
            </w:pPr>
            <w:r>
              <w:rPr>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519" w:type="dxa"/>
            <w:gridSpan w:val="3"/>
            <w:tcBorders>
              <w:left w:val="single" w:sz="2" w:space="0" w:color="000000"/>
              <w:bottom w:val="single" w:sz="2" w:space="0" w:color="000000"/>
            </w:tcBorders>
            <w:shd w:fill="auto" w:val="clear"/>
          </w:tcPr>
          <w:p>
            <w:pPr>
              <w:pStyle w:val="Style19"/>
              <w:widowControl w:val="false"/>
              <w:suppressLineNumbers/>
              <w:suppressAutoHyphens w:val="true"/>
              <w:overflowPunct w:val="false"/>
              <w:bidi w:val="0"/>
              <w:spacing w:before="0" w:after="0"/>
              <w:ind w:left="0" w:right="0" w:hanging="57"/>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186"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color w:val="auto"/>
              </w:rPr>
            </w:pPr>
            <w:r>
              <w:rPr>
                <w:rFonts w:cs="Times New Roman"/>
                <w:bCs/>
                <w:color w:val="auto"/>
                <w:sz w:val="26"/>
                <w:szCs w:val="26"/>
              </w:rPr>
              <w:t xml:space="preserve">Особа, яка бажає взяти участь у доборі, подає </w:t>
            </w:r>
            <w:r>
              <w:rPr>
                <w:rFonts w:eastAsia="Times New Roman" w:cs="Times New Roman"/>
                <w:bCs/>
                <w:color w:val="auto"/>
                <w:kern w:val="0"/>
                <w:sz w:val="26"/>
                <w:szCs w:val="26"/>
                <w:lang w:val="uk-UA" w:eastAsia="zh-CN" w:bidi="ar-SA"/>
              </w:rPr>
              <w:t>Управлінню по роботі з персоналом</w:t>
            </w:r>
            <w:r>
              <w:rPr>
                <w:rFonts w:cs="Times New Roman"/>
                <w:bCs/>
                <w:color w:val="auto"/>
                <w:sz w:val="26"/>
                <w:szCs w:val="26"/>
              </w:rPr>
              <w:t>:</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заяв</w:t>
            </w:r>
            <w:r>
              <w:rPr>
                <w:rFonts w:eastAsia="Times New Roman" w:cs="Times New Roman"/>
                <w:bCs/>
                <w:color w:val="000000"/>
                <w:kern w:val="0"/>
                <w:sz w:val="26"/>
                <w:szCs w:val="26"/>
                <w:shd w:fill="FFFFFF" w:val="clear"/>
                <w:lang w:val="uk-UA" w:eastAsia="zh-CN" w:bidi="ar-SA"/>
              </w:rPr>
              <w:t>у;</w:t>
            </w:r>
          </w:p>
          <w:p>
            <w:pPr>
              <w:pStyle w:val="Style10"/>
              <w:widowControl w:val="false"/>
              <w:suppressAutoHyphens w:val="true"/>
              <w:bidi w:val="0"/>
              <w:spacing w:lineRule="auto" w:line="240" w:before="0" w:after="0"/>
              <w:ind w:left="57" w:right="57" w:firstLine="510"/>
              <w:jc w:val="both"/>
              <w:rPr>
                <w:color w:val="auto"/>
              </w:rPr>
            </w:pPr>
            <w:r>
              <w:rPr>
                <w:rFonts w:cs="Times New Roman"/>
                <w:bCs/>
                <w:color w:val="000000"/>
                <w:sz w:val="26"/>
                <w:szCs w:val="26"/>
                <w:shd w:fill="FFFFFF" w:val="clear"/>
              </w:rPr>
              <w:t>заповнен</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особов</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картк</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документ</w:t>
            </w:r>
            <w:r>
              <w:rPr>
                <w:rFonts w:eastAsia="Times New Roman" w:cs="Times New Roman"/>
                <w:bCs/>
                <w:color w:val="000000"/>
                <w:kern w:val="0"/>
                <w:sz w:val="26"/>
                <w:szCs w:val="26"/>
                <w:shd w:fill="FFFFFF" w:val="clear"/>
                <w:lang w:val="uk-UA" w:eastAsia="zh-CN" w:bidi="ar-SA"/>
              </w:rPr>
              <w:t>и</w:t>
            </w:r>
            <w:r>
              <w:rPr>
                <w:rFonts w:cs="Times New Roman"/>
                <w:bCs/>
                <w:color w:val="000000"/>
                <w:sz w:val="26"/>
                <w:szCs w:val="26"/>
                <w:shd w:fill="FFFFFF"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color w:val="auto"/>
              </w:rPr>
            </w:pPr>
            <w:r>
              <w:rPr>
                <w:rFonts w:eastAsia="Times New Roman" w:cs="Times New Roman"/>
                <w:b w:val="false"/>
                <w:bCs w:val="false"/>
                <w:color w:val="000000"/>
                <w:kern w:val="0"/>
                <w:sz w:val="26"/>
                <w:szCs w:val="26"/>
                <w:shd w:fill="FFFFFF"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Style25"/>
              <w:widowControl w:val="false"/>
              <w:suppressAutoHyphens w:val="true"/>
              <w:overflowPunct w:val="false"/>
              <w:bidi w:val="0"/>
              <w:spacing w:before="0" w:after="0"/>
              <w:ind w:left="57" w:right="57" w:firstLine="567"/>
              <w:jc w:val="both"/>
              <w:rPr/>
            </w:pPr>
            <w:r>
              <w:rPr>
                <w:sz w:val="26"/>
                <w:szCs w:val="26"/>
                <w:lang w:val="uk-UA" w:eastAsia="zh-CN" w:bidi="ar-SA"/>
              </w:rPr>
              <w:t>Документи</w:t>
            </w:r>
            <w:r>
              <w:rPr>
                <w:sz w:val="26"/>
                <w:szCs w:val="26"/>
              </w:rPr>
              <w:t xml:space="preserve"> прийма</w:t>
            </w:r>
            <w:r>
              <w:rPr>
                <w:sz w:val="26"/>
                <w:szCs w:val="26"/>
                <w:lang w:val="uk-UA" w:eastAsia="zh-CN" w:bidi="ar-SA"/>
              </w:rPr>
              <w:t>ю</w:t>
            </w:r>
            <w:r>
              <w:rPr>
                <w:sz w:val="26"/>
                <w:szCs w:val="26"/>
              </w:rPr>
              <w:t>ться д</w:t>
            </w:r>
            <w:r>
              <w:rPr>
                <w:sz w:val="26"/>
                <w:szCs w:val="26"/>
                <w:shd w:fill="auto" w:val="clear"/>
              </w:rPr>
              <w:t xml:space="preserve">о </w:t>
            </w:r>
            <w:r>
              <w:rPr>
                <w:sz w:val="26"/>
                <w:szCs w:val="26"/>
                <w:shd w:fill="auto" w:val="clear"/>
                <w:lang w:val="en-US"/>
              </w:rPr>
              <w:t>17</w:t>
            </w:r>
            <w:r>
              <w:rPr>
                <w:sz w:val="26"/>
                <w:szCs w:val="26"/>
                <w:shd w:fill="auto" w:val="clear"/>
              </w:rPr>
              <w:t>:00 години 11 червня 2025  року включно.</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pPr>
            <w:r>
              <w:rPr>
                <w:sz w:val="26"/>
                <w:szCs w:val="26"/>
              </w:rPr>
              <w:t xml:space="preserve">Співбесіда </w:t>
            </w:r>
            <w:r>
              <w:rPr>
                <w:sz w:val="26"/>
                <w:szCs w:val="26"/>
                <w:lang w:val="uk-UA" w:eastAsia="zh-CN" w:bidi="ar-SA"/>
              </w:rPr>
              <w:t xml:space="preserve"> </w:t>
            </w:r>
            <w:r>
              <w:rPr>
                <w:sz w:val="26"/>
                <w:szCs w:val="26"/>
              </w:rPr>
              <w:t>відбудеться 12</w:t>
            </w:r>
            <w:r>
              <w:rPr>
                <w:sz w:val="26"/>
                <w:szCs w:val="26"/>
                <w:shd w:fill="auto" w:val="clear"/>
              </w:rPr>
              <w:t xml:space="preserve"> червня</w:t>
            </w:r>
            <w:r>
              <w:rPr>
                <w:sz w:val="26"/>
                <w:szCs w:val="26"/>
                <w:shd w:fill="auto" w:val="clear"/>
                <w:lang w:val="uk-UA" w:eastAsia="zh-CN" w:bidi="ar-SA"/>
              </w:rPr>
              <w:t xml:space="preserve"> 2025</w:t>
            </w:r>
            <w:r>
              <w:rPr>
                <w:sz w:val="26"/>
                <w:szCs w:val="26"/>
                <w:shd w:fill="auto" w:val="clear"/>
              </w:rPr>
              <w:t xml:space="preserve"> року, за адресою </w:t>
            </w:r>
            <w:r>
              <w:rPr>
                <w:sz w:val="26"/>
                <w:szCs w:val="26"/>
                <w:shd w:fill="auto" w:val="clear"/>
                <w:lang w:val="uk-UA" w:eastAsia="zh-CN" w:bidi="ar-SA"/>
              </w:rPr>
              <w:t>м. Луцьк, Київський майдан, 6 (проведен</w:t>
            </w:r>
            <w:r>
              <w:rPr>
                <w:sz w:val="26"/>
                <w:szCs w:val="26"/>
                <w:lang w:val="uk-UA" w:eastAsia="zh-CN" w:bidi="ar-SA"/>
              </w:rPr>
              <w:t>ня співбесіди за фізичної присутності кандидатів).</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10"/>
              <w:jc w:val="both"/>
              <w:rPr>
                <w:sz w:val="26"/>
                <w:szCs w:val="26"/>
              </w:rPr>
            </w:pPr>
            <w:r>
              <w:rPr>
                <w:sz w:val="26"/>
                <w:szCs w:val="26"/>
              </w:rPr>
              <w:t>Левчук Володимир Михайлович,</w:t>
            </w:r>
          </w:p>
          <w:p>
            <w:pPr>
              <w:pStyle w:val="Normal"/>
              <w:widowControl w:val="false"/>
              <w:suppressAutoHyphens w:val="true"/>
              <w:overflowPunct w:val="false"/>
              <w:bidi w:val="0"/>
              <w:spacing w:before="0" w:after="0"/>
              <w:ind w:left="57" w:right="57" w:firstLine="567"/>
              <w:jc w:val="both"/>
              <w:rPr>
                <w:sz w:val="26"/>
                <w:szCs w:val="26"/>
              </w:rPr>
            </w:pPr>
            <w:r>
              <w:rPr>
                <w:sz w:val="26"/>
                <w:szCs w:val="26"/>
                <w:lang w:val="uk-UA"/>
              </w:rPr>
              <w:t>Козицька Галина Стефанівна</w:t>
            </w:r>
          </w:p>
          <w:p>
            <w:pPr>
              <w:pStyle w:val="Normal"/>
              <w:widowControl w:val="false"/>
              <w:ind w:left="0" w:right="0" w:hanging="0"/>
              <w:jc w:val="both"/>
              <w:rPr>
                <w:sz w:val="26"/>
                <w:szCs w:val="26"/>
              </w:rPr>
            </w:pPr>
            <w:r>
              <w:rPr>
                <w:sz w:val="26"/>
                <w:szCs w:val="26"/>
              </w:rPr>
              <w:t>28-10-35</w:t>
            </w:r>
          </w:p>
          <w:p>
            <w:pPr>
              <w:pStyle w:val="Normal"/>
              <w:widowControl w:val="false"/>
              <w:bidi w:val="0"/>
              <w:ind w:left="0" w:right="0" w:hanging="0"/>
              <w:jc w:val="both"/>
              <w:rPr>
                <w:sz w:val="26"/>
                <w:szCs w:val="26"/>
              </w:rPr>
            </w:pPr>
            <w:r>
              <w:rPr>
                <w:sz w:val="26"/>
                <w:szCs w:val="26"/>
                <w:lang w:val="uk-UA" w:eastAsia="zh-CN" w:bidi="ar-SA"/>
              </w:rPr>
              <w:t>28-10-62</w:t>
            </w:r>
          </w:p>
          <w:p>
            <w:pPr>
              <w:pStyle w:val="Normal"/>
              <w:widowControl w:val="false"/>
              <w:ind w:left="0" w:right="0" w:hanging="0"/>
              <w:jc w:val="both"/>
              <w:rPr/>
            </w:pPr>
            <w:r>
              <w:rPr>
                <w:sz w:val="26"/>
                <w:szCs w:val="26"/>
                <w:lang w:val="en-US" w:eastAsia="zh-CN" w:bidi="ar-SA"/>
              </w:rPr>
              <w:t xml:space="preserve">E-mail: </w:t>
            </w:r>
            <w:hyperlink r:id="rId2">
              <w:r>
                <w:rPr>
                  <w:rStyle w:val="Style7"/>
                  <w:sz w:val="26"/>
                  <w:szCs w:val="26"/>
                  <w:lang w:val="en-US"/>
                </w:rPr>
                <w:t>personal@vl.pfu.gov.ua</w:t>
              </w:r>
            </w:hyperlink>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ind w:left="0" w:right="0" w:hanging="0"/>
              <w:jc w:val="both"/>
              <w:rPr>
                <w:sz w:val="26"/>
                <w:szCs w:val="26"/>
              </w:rPr>
            </w:pPr>
            <w:r>
              <w:rPr>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189" w:type="dxa"/>
            <w:gridSpan w:val="2"/>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pPr>
            <w:r>
              <w:rPr>
                <w:rStyle w:val="CharStyle7"/>
                <w:sz w:val="26"/>
                <w:szCs w:val="26"/>
              </w:rPr>
              <w:t>Вища освіта за освітнім ступенем не нижче бакалавра, молодшого бакалавра.</w:t>
            </w:r>
          </w:p>
        </w:tc>
      </w:tr>
      <w:tr>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189" w:type="dxa"/>
            <w:gridSpan w:val="2"/>
            <w:tcBorders>
              <w:left w:val="single" w:sz="2" w:space="0" w:color="000000"/>
              <w:bottom w:val="single" w:sz="2" w:space="0" w:color="000000"/>
              <w:right w:val="single" w:sz="2" w:space="0" w:color="000000"/>
            </w:tcBorders>
            <w:shd w:fill="auto" w:val="clear"/>
          </w:tcPr>
          <w:p>
            <w:pPr>
              <w:pStyle w:val="Style19"/>
              <w:widowControl w:val="false"/>
              <w:bidi w:val="0"/>
              <w:ind w:left="0" w:right="0" w:firstLine="283"/>
              <w:jc w:val="both"/>
              <w:rPr>
                <w:sz w:val="26"/>
                <w:szCs w:val="26"/>
              </w:rPr>
            </w:pPr>
            <w:r>
              <w:rPr>
                <w:sz w:val="26"/>
                <w:szCs w:val="26"/>
              </w:rPr>
              <w:t xml:space="preserve">Без </w:t>
            </w:r>
            <w:r>
              <w:rPr>
                <w:sz w:val="26"/>
                <w:szCs w:val="26"/>
                <w:lang w:val="uk-UA" w:eastAsia="zh-CN" w:bidi="ar-SA"/>
              </w:rPr>
              <w:t>вимог до досвіду роботи.</w:t>
            </w:r>
          </w:p>
        </w:tc>
      </w:tr>
      <w:tr>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189" w:type="dxa"/>
            <w:gridSpan w:val="2"/>
            <w:tcBorders>
              <w:left w:val="single" w:sz="2" w:space="0" w:color="000000"/>
              <w:bottom w:val="single" w:sz="2" w:space="0" w:color="000000"/>
              <w:right w:val="single" w:sz="2" w:space="0" w:color="000000"/>
            </w:tcBorders>
            <w:shd w:fill="auto" w:val="clear"/>
          </w:tcPr>
          <w:p>
            <w:pPr>
              <w:pStyle w:val="Rvps14"/>
              <w:widowControl w:val="false"/>
              <w:bidi w:val="0"/>
              <w:spacing w:before="100" w:after="100"/>
              <w:ind w:left="0" w:right="0" w:firstLine="283"/>
              <w:jc w:val="both"/>
              <w:rPr>
                <w:sz w:val="26"/>
                <w:szCs w:val="26"/>
              </w:rPr>
            </w:pPr>
            <w:r>
              <w:rPr>
                <w:sz w:val="26"/>
                <w:szCs w:val="26"/>
              </w:rPr>
              <w:t>Вільне володіння державною мовою.</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Вимоги до компетентності</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sz w:val="26"/>
                <w:szCs w:val="26"/>
              </w:rPr>
            </w:pPr>
            <w:r>
              <w:rPr>
                <w:b/>
                <w:bCs/>
                <w:sz w:val="26"/>
                <w:szCs w:val="26"/>
              </w:rPr>
              <w:t>Компоненти вимоги</w:t>
            </w:r>
          </w:p>
        </w:tc>
      </w:tr>
      <w:tr>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189"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до чіткого бачення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запобігати та ефективно долати перешкоди.</w:t>
            </w:r>
          </w:p>
        </w:tc>
      </w:tr>
      <w:tr>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189"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overflowPunct w:val="false"/>
              <w:bidi w:val="0"/>
              <w:spacing w:before="0" w:after="0"/>
              <w:ind w:left="57" w:right="57" w:firstLine="567"/>
              <w:jc w:val="both"/>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брати на себе зобов'язання, чітко їх дотримуватись і виконувати.</w:t>
            </w:r>
          </w:p>
        </w:tc>
      </w:tr>
      <w:tr>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189"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використовувати сервіси інтернету для ефективного пошуку потрібної інформації;</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уникати небезпек в цифровому середовищі, захищати особисті та конфіденційні дані;</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Професійні знання</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sz w:val="26"/>
                <w:szCs w:val="26"/>
              </w:rPr>
            </w:pPr>
            <w:r>
              <w:rPr>
                <w:b/>
                <w:bCs/>
                <w:sz w:val="26"/>
                <w:szCs w:val="26"/>
              </w:rPr>
              <w:t>Компоненти вимоги</w:t>
            </w:r>
          </w:p>
        </w:tc>
      </w:tr>
      <w:tr>
        <w:trPr>
          <w:trHeight w:val="1299" w:hRule="atLeast"/>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189" w:type="dxa"/>
            <w:gridSpan w:val="2"/>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170" w:right="283" w:firstLine="454"/>
              <w:jc w:val="both"/>
              <w:rPr>
                <w:sz w:val="26"/>
                <w:szCs w:val="26"/>
              </w:rPr>
            </w:pPr>
            <w:r>
              <w:rPr>
                <w:sz w:val="26"/>
                <w:szCs w:val="26"/>
              </w:rPr>
              <w:t>Конституції України від 28 червня 1996 року;</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true"/>
              <w:bidi w:val="0"/>
              <w:spacing w:before="0" w:after="0"/>
              <w:ind w:left="57" w:right="57" w:firstLine="510"/>
              <w:jc w:val="both"/>
              <w:rPr>
                <w:sz w:val="26"/>
                <w:szCs w:val="26"/>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false"/>
              <w:bidi w:val="0"/>
              <w:spacing w:before="0" w:after="0"/>
              <w:ind w:left="113" w:right="227" w:firstLine="510"/>
              <w:jc w:val="both"/>
              <w:rPr>
                <w:sz w:val="26"/>
                <w:szCs w:val="26"/>
              </w:rPr>
            </w:pPr>
            <w:r>
              <w:rPr>
                <w:sz w:val="26"/>
                <w:szCs w:val="26"/>
              </w:rPr>
              <w:t>Закону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56"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189" w:type="dxa"/>
            <w:gridSpan w:val="2"/>
            <w:tcBorders>
              <w:left w:val="single" w:sz="2" w:space="0" w:color="000000"/>
              <w:bottom w:val="single" w:sz="2" w:space="0" w:color="000000"/>
              <w:right w:val="single" w:sz="2" w:space="0" w:color="000000"/>
            </w:tcBorders>
            <w:shd w:fill="auto" w:val="clear"/>
          </w:tcPr>
          <w:p>
            <w:pPr>
              <w:pStyle w:val="Normal"/>
              <w:widowControl w:val="false"/>
              <w:spacing w:lineRule="exact" w:line="283"/>
              <w:ind w:left="0" w:right="57" w:firstLine="567"/>
              <w:jc w:val="both"/>
              <w:rPr>
                <w:highlight w:val="none"/>
                <w:shd w:fill="auto" w:val="clear"/>
              </w:rPr>
            </w:pPr>
            <w:bookmarkStart w:id="1" w:name="Про_спрощення_порядку_надання_населенню_"/>
            <w:bookmarkEnd w:id="1"/>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 від 09 липня 2003 року № 1058-</w:t>
            </w:r>
            <w:r>
              <w:rPr>
                <w:b w:val="false"/>
                <w:bCs w:val="false"/>
                <w:sz w:val="26"/>
                <w:szCs w:val="26"/>
                <w:shd w:fill="auto" w:val="clear"/>
                <w:lang w:val="en-US"/>
              </w:rPr>
              <w:t>VI</w:t>
            </w:r>
            <w:r>
              <w:rPr>
                <w:b w:val="false"/>
                <w:bCs w:val="false"/>
                <w:sz w:val="26"/>
                <w:szCs w:val="26"/>
                <w:shd w:fill="auto" w:val="clear"/>
              </w:rPr>
              <w:t>;</w:t>
            </w:r>
            <w:bookmarkStart w:id="2" w:name="__DdeLink__950_1541986854"/>
          </w:p>
          <w:p>
            <w:pPr>
              <w:pStyle w:val="Normal"/>
              <w:widowControl w:val="false"/>
              <w:spacing w:lineRule="exact" w:line="283"/>
              <w:ind w:left="0" w:right="57" w:firstLine="567"/>
              <w:jc w:val="both"/>
              <w:rPr>
                <w:highlight w:val="none"/>
                <w:shd w:fill="auto" w:val="clear"/>
              </w:rPr>
            </w:pPr>
            <w:r>
              <w:rPr>
                <w:b w:val="false"/>
                <w:bCs w:val="false"/>
                <w:sz w:val="26"/>
                <w:szCs w:val="26"/>
                <w:shd w:fill="auto" w:val="clear"/>
              </w:rPr>
              <w:t xml:space="preserve">Закону України “Про забезпечення осіб, звільнених з військової служби, та деяких інших осіб”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XII;</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загальнообов’язкове державне соціальне страхування” від 23 вересня 1999 року № 1105-</w:t>
            </w:r>
            <w:r>
              <w:rPr>
                <w:b w:val="false"/>
                <w:bCs w:val="false"/>
                <w:i w:val="false"/>
                <w:caps w:val="false"/>
                <w:smallCaps w:val="false"/>
                <w:color w:val="000000"/>
                <w:spacing w:val="0"/>
                <w:sz w:val="26"/>
                <w:szCs w:val="26"/>
                <w:shd w:fill="auto" w:val="clear"/>
                <w:lang w:val="en-US"/>
              </w:rPr>
              <w:t>XIV;</w:t>
            </w:r>
          </w:p>
          <w:p>
            <w:pPr>
              <w:pStyle w:val="Normal"/>
              <w:widowControl w:val="false"/>
              <w:spacing w:lineRule="exact" w:line="283"/>
              <w:ind w:left="0" w:right="0" w:firstLine="624"/>
              <w:jc w:val="both"/>
              <w:rPr>
                <w:highlight w:val="none"/>
                <w:shd w:fill="auto" w:val="clear"/>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 xml:space="preserve"> 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796-XII;</w:t>
            </w:r>
          </w:p>
          <w:p>
            <w:pPr>
              <w:pStyle w:val="Normal"/>
              <w:widowControl w:val="false"/>
              <w:spacing w:lineRule="exact" w:line="283"/>
              <w:ind w:left="-57" w:right="57" w:firstLine="567"/>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статус ветеранів війни, гарантії їх соціального захисту” від 22 жовтня 1993 року № 3551-</w:t>
            </w:r>
            <w:r>
              <w:rPr>
                <w:b w:val="false"/>
                <w:bCs w:val="false"/>
                <w:i w:val="false"/>
                <w:caps w:val="false"/>
                <w:smallCaps w:val="false"/>
                <w:color w:val="000000"/>
                <w:spacing w:val="0"/>
                <w:sz w:val="26"/>
                <w:szCs w:val="26"/>
                <w:shd w:fill="auto" w:val="clear"/>
                <w:lang w:val="en-US"/>
              </w:rPr>
              <w:t>XII</w:t>
            </w:r>
            <w:r>
              <w:rPr>
                <w:b w:val="false"/>
                <w:bCs w:val="false"/>
                <w:i w:val="false"/>
                <w:caps w:val="false"/>
                <w:smallCaps w:val="false"/>
                <w:color w:val="000000"/>
                <w:spacing w:val="0"/>
                <w:sz w:val="26"/>
                <w:szCs w:val="26"/>
                <w:shd w:fill="auto" w:val="clear"/>
              </w:rPr>
              <w:t>;</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Положення про Пенсійний фонд України” від 23 липня 2014 року № 280;</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Єдиний державний автоматизований реєстр осіб, які мають право на пільги” від 29 січня 2003 року № 117;</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“Деякі питання соціального захисту осіб, які мають особливі та особливі трудові заслуги перед Батьківщиною, ветеранів війни та осіб, що працюють в спеціальних умовах” від 27 грудня 2023 року № 1396;</w:t>
            </w:r>
          </w:p>
          <w:p>
            <w:pPr>
              <w:pStyle w:val="Normal"/>
              <w:widowControl w:val="false"/>
              <w:spacing w:lineRule="exact" w:line="283"/>
              <w:ind w:left="0" w:right="57"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організацію прийому та обслуговування осіб, які звертаються до органів Пенсійного фонду України” від 30 липня 2015 року № 13-1;</w:t>
            </w:r>
          </w:p>
          <w:p>
            <w:pPr>
              <w:pStyle w:val="Normal"/>
              <w:widowControl w:val="false"/>
              <w:spacing w:lineRule="exact" w:line="283"/>
              <w:ind w:left="0" w:right="57" w:firstLine="567"/>
              <w:jc w:val="both"/>
              <w:rPr>
                <w:highlight w:val="none"/>
                <w:shd w:fill="auto" w:val="clear"/>
              </w:rPr>
            </w:pPr>
            <w:r>
              <w:rPr>
                <w:b w:val="false"/>
                <w:bCs w:val="false"/>
                <w:i w:val="false"/>
                <w:caps w:val="false"/>
                <w:smallCaps w:val="false"/>
                <w:color w:val="000000"/>
                <w:spacing w:val="0"/>
                <w:sz w:val="26"/>
                <w:szCs w:val="26"/>
                <w:shd w:fill="auto" w:val="clear"/>
              </w:rPr>
              <w:t xml:space="preserve">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від 25 листопада 2005 року № 22-1 </w:t>
            </w:r>
            <w:r>
              <w:rPr>
                <w:b w:val="false"/>
                <w:bCs w:val="false"/>
                <w:i w:val="false"/>
                <w:caps w:val="false"/>
                <w:smallCaps w:val="false"/>
                <w:color w:val="000000"/>
                <w:spacing w:val="0"/>
                <w:sz w:val="26"/>
                <w:szCs w:val="26"/>
                <w:shd w:fill="auto" w:val="clear"/>
                <w:lang w:val="en-US"/>
              </w:rPr>
              <w:t>;</w:t>
            </w:r>
          </w:p>
          <w:p>
            <w:pPr>
              <w:pStyle w:val="Normal"/>
              <w:widowControl w:val="false"/>
              <w:spacing w:lineRule="exact" w:line="283"/>
              <w:ind w:left="57" w:right="57" w:firstLine="510"/>
              <w:jc w:val="both"/>
              <w:rPr>
                <w:highlight w:val="none"/>
                <w:shd w:fill="auto" w:val="clear"/>
              </w:rPr>
            </w:pPr>
            <w:r>
              <w:rPr>
                <w:b w:val="false"/>
                <w:bCs w:val="false"/>
                <w:color w:val="000000"/>
                <w:sz w:val="26"/>
                <w:szCs w:val="26"/>
                <w:shd w:fill="auto" w:val="clear"/>
              </w:rPr>
              <w:t>Постанови правління Пенсійного фонду України “Про внесення змін до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02 березня 2023 року № 10-1;</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порядок оформлення, виготовлення та видачі документів, що підтверджують призначення особі пенсії” від 03 листопада 2017 року  № 26-1;</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30 січня 2007 року № 3-1;</w:t>
            </w:r>
          </w:p>
          <w:p>
            <w:pPr>
              <w:pStyle w:val="Normal"/>
              <w:widowControl w:val="false"/>
              <w:suppressAutoHyphens w:val="true"/>
              <w:overflowPunct w:val="false"/>
              <w:bidi w:val="0"/>
              <w:spacing w:lineRule="exact" w:line="283" w:before="0" w:after="0"/>
              <w:ind w:left="57" w:right="57" w:firstLine="510"/>
              <w:jc w:val="both"/>
              <w:rPr/>
            </w:pPr>
            <w:bookmarkStart w:id="3" w:name="Про_спрощення_порядку_надання_населенню_"/>
            <w:bookmarkEnd w:id="2"/>
            <w:bookmarkEnd w:id="3"/>
            <w:r>
              <w:rPr>
                <w:rStyle w:val="Style7"/>
                <w:b w:val="false"/>
                <w:bCs w:val="false"/>
                <w:i w:val="false"/>
                <w:caps w:val="false"/>
                <w:smallCaps w:val="false"/>
                <w:color w:val="000000"/>
                <w:spacing w:val="0"/>
                <w:sz w:val="26"/>
                <w:szCs w:val="26"/>
                <w:u w:val="none"/>
                <w:shd w:fill="auto" w:val="clear"/>
                <w:lang w:eastAsia="zh-CN"/>
              </w:rPr>
              <w:t>Постанови правління Пенсійного фонду України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від 26 січня 2024 року № 4-1.</w:t>
            </w:r>
          </w:p>
        </w:tc>
      </w:tr>
    </w:tbl>
    <w:p>
      <w:pPr>
        <w:pStyle w:val="Normal"/>
        <w:suppressAutoHyphens w:val="false"/>
        <w:snapToGrid w:val="false"/>
        <w:jc w:val="center"/>
        <w:rPr>
          <w:sz w:val="26"/>
          <w:szCs w:val="26"/>
        </w:rPr>
      </w:pPr>
      <w:r>
        <w:rPr>
          <w:sz w:val="26"/>
          <w:szCs w:val="26"/>
        </w:rPr>
      </w:r>
    </w:p>
    <w:p>
      <w:pPr>
        <w:pStyle w:val="Normal"/>
        <w:suppressAutoHyphens w:val="false"/>
        <w:snapToGrid w:val="false"/>
        <w:jc w:val="center"/>
        <w:rPr/>
      </w:pPr>
      <w:r>
        <w:rPr>
          <w:sz w:val="26"/>
          <w:szCs w:val="26"/>
        </w:rPr>
        <w:t>__________________________________</w:t>
      </w:r>
    </w:p>
    <w:p>
      <w:pPr>
        <w:pStyle w:val="Normal"/>
        <w:suppressAutoHyphens w:val="false"/>
        <w:snapToGrid w:val="false"/>
        <w:jc w:val="center"/>
        <w:rPr>
          <w:sz w:val="26"/>
          <w:szCs w:val="26"/>
        </w:rPr>
      </w:pPr>
      <w:r>
        <w:rPr/>
      </w:r>
    </w:p>
    <w:sectPr>
      <w:headerReference w:type="default" r:id="rId3"/>
      <w:type w:val="nextPage"/>
      <w:pgSz w:w="11906" w:h="16838"/>
      <w:pgMar w:left="1701" w:right="567" w:gutter="0" w:header="660" w:top="1230" w:footer="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center"/>
      <w:rPr/>
    </w:pPr>
    <w:r>
      <w:rPr/>
      <w:t xml:space="preserve">                                                                                      </w:t>
    </w:r>
    <w:r>
      <w:rPr>
        <w:sz w:val="26"/>
        <w:szCs w:val="26"/>
      </w:rPr>
      <w:t xml:space="preserve">  </w:t>
    </w:r>
    <w:r>
      <w:rPr>
        <w:sz w:val="26"/>
        <w:szCs w:val="26"/>
      </w:rPr>
      <w:fldChar w:fldCharType="begin"/>
    </w:r>
    <w:r>
      <w:rPr>
        <w:sz w:val="26"/>
        <w:szCs w:val="26"/>
      </w:rPr>
      <w:instrText xml:space="preserve"> PAGE </w:instrText>
    </w:r>
    <w:r>
      <w:rPr>
        <w:sz w:val="26"/>
        <w:szCs w:val="26"/>
      </w:rPr>
      <w:fldChar w:fldCharType="separate"/>
    </w:r>
    <w:r>
      <w:rPr>
        <w:sz w:val="26"/>
        <w:szCs w:val="26"/>
      </w:rPr>
      <w:t>5</w:t>
    </w:r>
    <w:r>
      <w:rPr>
        <w:sz w:val="26"/>
        <w:szCs w:val="26"/>
      </w:rPr>
      <w:fldChar w:fldCharType="end"/>
    </w:r>
    <w:r>
      <w:rPr>
        <w:sz w:val="26"/>
        <w:szCs w:val="26"/>
      </w:rPr>
      <w:t xml:space="preserve">                                    </w:t>
    </w:r>
    <w:r>
      <w:rPr>
        <w:sz w:val="26"/>
        <w:szCs w:val="26"/>
      </w:rPr>
      <w:t>Продовження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left="0" w:right="3712" w:hanging="0"/>
      <w:outlineLvl w:val="3"/>
    </w:pPr>
    <w:rPr>
      <w:b/>
      <w:sz w:val="28"/>
    </w:rPr>
  </w:style>
  <w:style w:type="paragraph" w:styleId="5">
    <w:name w:val="Heading 5"/>
    <w:basedOn w:val="Normal"/>
    <w:next w:val="Normal"/>
    <w:link w:val="Heading5Char"/>
    <w:qFormat/>
    <w:pPr>
      <w:keepNext w:val="true"/>
      <w:jc w:val="right"/>
      <w:outlineLvl w:val="4"/>
    </w:pPr>
    <w:rPr>
      <w:sz w:val="24"/>
      <w:lang w:val="en-US"/>
    </w:rPr>
  </w:style>
  <w:style w:type="paragraph" w:styleId="6">
    <w:name w:val="Heading 6"/>
    <w:basedOn w:val="Style9"/>
    <w:link w:val="Heading6Char"/>
    <w:qFormat/>
    <w:pPr>
      <w:outlineLvl w:val="5"/>
    </w:pPr>
    <w:rPr>
      <w:b/>
      <w:bCs/>
      <w:sz w:val="21"/>
      <w:szCs w:val="21"/>
    </w:rPr>
  </w:style>
  <w:style w:type="paragraph" w:styleId="7">
    <w:name w:val="Heading 7"/>
    <w:basedOn w:val="Style9"/>
    <w:link w:val="Heading7Char"/>
    <w:qFormat/>
    <w:pPr>
      <w:outlineLvl w:val="6"/>
    </w:pPr>
    <w:rPr>
      <w:b/>
      <w:bCs/>
      <w:sz w:val="21"/>
      <w:szCs w:val="21"/>
    </w:rPr>
  </w:style>
  <w:style w:type="paragraph" w:styleId="8">
    <w:name w:val="Heading 8"/>
    <w:basedOn w:val="Style9"/>
    <w:link w:val="Heading8Char"/>
    <w:qFormat/>
    <w:pPr>
      <w:outlineLvl w:val="7"/>
    </w:pPr>
    <w:rPr>
      <w:b/>
      <w:bCs/>
      <w:sz w:val="21"/>
      <w:szCs w:val="21"/>
    </w:rPr>
  </w:style>
  <w:style w:type="paragraph" w:styleId="9">
    <w:name w:val="Heading 9"/>
    <w:basedOn w:val="Style9"/>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link w:val="BodyTextChar"/>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link w:val="TitleChar"/>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link w:val="BodyTextIndentChar"/>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link w:val="SubtitleChar"/>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fals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Style31">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31">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32">
    <w:name w:val="Вміст рамки"/>
    <w:basedOn w:val="Normal"/>
    <w:qFormat/>
    <w:pPr/>
    <w:rPr/>
  </w:style>
  <w:style w:type="paragraph" w:styleId="311">
    <w:name w:val="Основной текст с отступом 31"/>
    <w:basedOn w:val="Normal"/>
    <w:qFormat/>
    <w:pPr>
      <w:ind w:left="284" w:hanging="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right="14" w:firstLine="709"/>
      <w:jc w:val="both"/>
    </w:pPr>
    <w:rPr>
      <w:sz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1530</TotalTime>
  <Application>LibreOffice/7.4.3.2$Windows_X86_64 LibreOffice_project/1048a8393ae2eeec98dff31b5c133c5f1d08b890</Application>
  <AppVersion>15.0000</AppVersion>
  <Pages>5</Pages>
  <Words>1207</Words>
  <Characters>8275</Characters>
  <CharactersWithSpaces>9510</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2025-06-04T12:13:02Z</dcterms:modified>
  <cp:revision>280</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