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___________№___________</w:t>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spacing w:before="0" w:after="0"/>
        <w:jc w:val="center"/>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pP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категорії “Б” </w:t>
      </w:r>
      <w:r>
        <w:rPr>
          <w:rFonts w:eastAsia="Times New Roman" w:cs="Times New Roman"/>
          <w:b w:val="false"/>
          <w:bCs w:val="false"/>
          <w:color w:val="000000"/>
          <w:sz w:val="26"/>
          <w:szCs w:val="26"/>
          <w:lang w:val="uk-UA" w:eastAsia="zh-CN" w:bidi="ar-SA"/>
        </w:rPr>
        <w:t>‒</w:t>
      </w:r>
      <w:r>
        <w:rPr>
          <w:b w:val="false"/>
          <w:bCs w:val="false"/>
          <w:color w:val="000000"/>
          <w:sz w:val="26"/>
          <w:szCs w:val="26"/>
          <w:lang w:val="uk-UA" w:eastAsia="zh-CN" w:bidi="ar-SA"/>
        </w:rPr>
        <w:t xml:space="preserve"> заступника начальника відділу профілактики та розслідування нещасних випадків </w:t>
      </w:r>
    </w:p>
    <w:p>
      <w:pPr>
        <w:pStyle w:val="Normal"/>
        <w:suppressAutoHyphens w:val="true"/>
        <w:snapToGrid w:val="false"/>
        <w:jc w:val="center"/>
        <w:rPr/>
      </w:pPr>
      <w:r>
        <w:rPr>
          <w:b w:val="false"/>
          <w:bCs w:val="false"/>
          <w:color w:val="000000"/>
          <w:sz w:val="26"/>
          <w:szCs w:val="26"/>
          <w:lang w:val="uk-UA" w:eastAsia="zh-CN" w:bidi="ar-SA"/>
        </w:rPr>
        <w:t>Управління  контрольно-перевірочної роботи</w:t>
      </w:r>
    </w:p>
    <w:p>
      <w:pPr>
        <w:pStyle w:val="Normal"/>
        <w:suppressAutoHyphens w:val="true"/>
        <w:snapToGrid w:val="false"/>
        <w:jc w:val="center"/>
        <w:rPr>
          <w:b w:val="false"/>
          <w:b w:val="false"/>
          <w:bCs w:val="false"/>
          <w:color w:val="000000"/>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pPr>
      <w:r>
        <w:rPr>
          <w:b w:val="false"/>
          <w:bCs w:val="false"/>
          <w:color w:val="000000"/>
          <w:sz w:val="26"/>
          <w:szCs w:val="26"/>
        </w:rPr>
        <w:t>(класифікаційний код посади 7</w:t>
      </w:r>
      <w:r>
        <w:rPr>
          <w:rFonts w:eastAsia="NSimSun" w:cs="Times New Roman"/>
          <w:b w:val="false"/>
          <w:bCs w:val="false"/>
          <w:i w:val="false"/>
          <w:caps w:val="false"/>
          <w:smallCaps w:val="false"/>
          <w:color w:val="000000"/>
          <w:spacing w:val="0"/>
          <w:kern w:val="2"/>
          <w:sz w:val="26"/>
          <w:szCs w:val="26"/>
          <w:shd w:fill="auto" w:val="clear"/>
          <w:lang w:val="en-US" w:eastAsia="zh-CN" w:bidi="hi-IN"/>
        </w:rPr>
        <w:t>-V</w:t>
      </w:r>
      <w:r>
        <w:rPr>
          <w:rFonts w:eastAsia="NSimSun" w:cs="Times New Roman"/>
          <w:b w:val="false"/>
          <w:bCs w:val="false"/>
          <w:i w:val="false"/>
          <w:caps w:val="false"/>
          <w:smallCaps w:val="false"/>
          <w:color w:val="000000"/>
          <w:spacing w:val="0"/>
          <w:kern w:val="2"/>
          <w:sz w:val="26"/>
          <w:szCs w:val="26"/>
          <w:shd w:fill="auto" w:val="clear"/>
          <w:lang w:val="uk-UA" w:eastAsia="zh-CN" w:bidi="hi-IN"/>
        </w:rPr>
        <w:t>І</w:t>
      </w:r>
      <w:r>
        <w:rPr>
          <w:rFonts w:eastAsia="NSimSun" w:cs="Times New Roman"/>
          <w:b w:val="false"/>
          <w:bCs w:val="false"/>
          <w:i w:val="false"/>
          <w:caps w:val="false"/>
          <w:smallCaps w:val="false"/>
          <w:color w:val="000000"/>
          <w:spacing w:val="0"/>
          <w:kern w:val="2"/>
          <w:sz w:val="26"/>
          <w:szCs w:val="26"/>
          <w:shd w:fill="auto" w:val="clear"/>
          <w:lang w:val="en-US" w:eastAsia="zh-CN" w:bidi="hi-IN"/>
        </w:rPr>
        <w:t>-2</w:t>
      </w:r>
      <w:r>
        <w:rPr>
          <w:rFonts w:eastAsia="NSimSun" w:cs="Times New Roman"/>
          <w:b w:val="false"/>
          <w:bCs w:val="false"/>
          <w:color w:val="000000"/>
          <w:kern w:val="2"/>
          <w:sz w:val="26"/>
          <w:szCs w:val="26"/>
          <w:shd w:fill="auto" w:val="clear"/>
          <w:lang w:val="uk-UA" w:eastAsia="zh-CN" w:bidi="hi-IN"/>
        </w:rPr>
        <w:t>,</w:t>
      </w:r>
      <w:r>
        <w:rPr>
          <w:b w:val="false"/>
          <w:bCs w:val="false"/>
          <w:color w:val="000000"/>
          <w:sz w:val="26"/>
          <w:szCs w:val="26"/>
          <w:lang w:val="uk-UA"/>
        </w:rPr>
        <w:t xml:space="preserve"> м. Луцьк</w:t>
      </w:r>
      <w:r>
        <w:rPr>
          <w:rFonts w:eastAsia="Times New Roman" w:cs="Times New Roman"/>
          <w:b w:val="false"/>
          <w:bCs w:val="false"/>
          <w:color w:val="000000"/>
          <w:sz w:val="26"/>
          <w:szCs w:val="26"/>
        </w:rPr>
        <w:t>, вул. Кравчука, буд. 22 В</w:t>
      </w:r>
      <w:r>
        <w:rPr>
          <w:b w:val="false"/>
          <w:bCs w:val="false"/>
          <w:color w:val="000000"/>
          <w:sz w:val="26"/>
          <w:szCs w:val="26"/>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645" w:type="dxa"/>
        <w:jc w:val="left"/>
        <w:tblInd w:w="-57" w:type="dxa"/>
        <w:tblLayout w:type="fixed"/>
        <w:tblCellMar>
          <w:top w:w="55" w:type="dxa"/>
          <w:left w:w="55" w:type="dxa"/>
          <w:bottom w:w="55" w:type="dxa"/>
          <w:right w:w="55" w:type="dxa"/>
        </w:tblCellMar>
      </w:tblPr>
      <w:tblGrid>
        <w:gridCol w:w="543"/>
        <w:gridCol w:w="3070"/>
        <w:gridCol w:w="6032"/>
      </w:tblGrid>
      <w:tr>
        <w:trPr/>
        <w:tc>
          <w:tcPr>
            <w:tcW w:w="9645" w:type="dxa"/>
            <w:gridSpan w:val="3"/>
            <w:tcBorders>
              <w:top w:val="single" w:sz="2" w:space="0" w:color="000000"/>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Загальні умови</w:t>
            </w:r>
          </w:p>
        </w:tc>
      </w:tr>
      <w:tr>
        <w:trPr>
          <w:trHeight w:val="9674" w:hRule="atLeast"/>
        </w:trPr>
        <w:tc>
          <w:tcPr>
            <w:tcW w:w="3613"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Посадові обов’язки</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before="0" w:after="0"/>
              <w:ind w:left="57" w:right="57" w:firstLine="227"/>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1) </w:t>
            </w: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en-US" w:bidi="ar-SA"/>
              </w:rPr>
              <w:t>Здійснення контролю з питань забезпечення ефективного та своєчасного виконання покладених на Відділ завдань і функцій, визначення порядку роботи відділу, узагальнення результатів роботи працівників Відділу; формування звітності та аналітичних матеріалів щодо здійснення контрольних заходів працівниками та моніторингу їх результатів</w:t>
            </w:r>
            <w:r>
              <w:rPr>
                <w:b w:val="false"/>
                <w:i w:val="false"/>
                <w:strike w:val="false"/>
                <w:dstrike w:val="false"/>
                <w:outline w:val="false"/>
                <w:shadow w:val="false"/>
                <w:color w:val="auto"/>
                <w:sz w:val="26"/>
                <w:szCs w:val="26"/>
                <w:u w:val="none"/>
                <w:em w:val="none"/>
              </w:rPr>
              <w:t xml:space="preserve">; </w:t>
            </w:r>
          </w:p>
          <w:p>
            <w:pPr>
              <w:pStyle w:val="Normal"/>
              <w:widowControl w:val="false"/>
              <w:suppressAutoHyphens w:val="true"/>
              <w:bidi w:val="0"/>
              <w:spacing w:before="0" w:after="0"/>
              <w:ind w:left="57" w:right="57" w:firstLine="227"/>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2) </w:t>
            </w: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en-US" w:bidi="ar-SA"/>
              </w:rPr>
              <w:t>Забезпечення перевірки стану профілактичної роботи та охорони праці на підприємствах. Вн</w:t>
            </w: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en-US" w:bidi="ar-SA"/>
              </w:rPr>
              <w:t>е</w:t>
            </w: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en-US" w:bidi="ar-SA"/>
              </w:rPr>
              <w:t>сення роботодавцям обов’язкові для виконання подання про порушення законодавства щодо охорони праці; здійснення контролю за їх виконанням;</w:t>
            </w:r>
          </w:p>
          <w:p>
            <w:pPr>
              <w:pStyle w:val="Normal"/>
              <w:widowControl w:val="false"/>
              <w:suppressAutoHyphens w:val="true"/>
              <w:bidi w:val="0"/>
              <w:spacing w:before="0" w:after="0"/>
              <w:ind w:left="57" w:right="57" w:firstLine="227"/>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3) Забезпечення </w:t>
            </w:r>
            <w:r>
              <w:rPr>
                <w:rStyle w:val="Style6"/>
                <w:rFonts w:eastAsia="Times New Roman" w:cs="Times New Roman"/>
                <w:b w:val="false"/>
                <w:bCs w:val="false"/>
                <w:i w:val="false"/>
                <w:strike w:val="false"/>
                <w:dstrike w:val="false"/>
                <w:outline w:val="false"/>
                <w:shadow w:val="false"/>
                <w:color w:val="000000"/>
                <w:kern w:val="0"/>
                <w:sz w:val="26"/>
                <w:szCs w:val="26"/>
                <w:u w:val="none"/>
                <w:shd w:fill="FFFFFF" w:val="clear"/>
                <w:em w:val="none"/>
                <w:lang w:val="uk-UA" w:eastAsia="ru-RU" w:bidi="ar-SA"/>
              </w:rPr>
              <w:t>участі у розслідуванні нещасних випадків на виробництві, а також гострих та хронічних професійних захворювань та здійснення контролю за своєчасністю і об’єктивністю їх проведення. Здійснення контролю за виконанням заходів щодо усунення причин нещасних випадків на виробництві та професійних захворювань, запропонованих комісіями з розслідування, у межах своєї компетентності</w:t>
            </w:r>
            <w:r>
              <w:rPr>
                <w:rStyle w:val="Style6"/>
                <w:rFonts w:eastAsia="Times New Roman" w:cs="Times New Roman"/>
                <w:b w:val="false"/>
                <w:bCs w:val="false"/>
                <w:i w:val="false"/>
                <w:strike w:val="false"/>
                <w:dstrike w:val="false"/>
                <w:outline w:val="false"/>
                <w:shadow w:val="false"/>
                <w:color w:val="000000"/>
                <w:kern w:val="0"/>
                <w:sz w:val="26"/>
                <w:szCs w:val="26"/>
                <w:u w:val="none"/>
                <w:em w:val="none"/>
                <w:lang w:val="uk-UA" w:eastAsia="ru-RU" w:bidi="ar-SA"/>
              </w:rPr>
              <w:t>;</w:t>
            </w:r>
          </w:p>
          <w:p>
            <w:pPr>
              <w:pStyle w:val="Normal"/>
              <w:widowControl w:val="false"/>
              <w:suppressAutoHyphens w:val="true"/>
              <w:overflowPunct w:val="true"/>
              <w:bidi w:val="0"/>
              <w:spacing w:before="0" w:after="0"/>
              <w:ind w:left="57" w:right="57" w:firstLine="283"/>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4) С</w:t>
            </w:r>
            <w:r>
              <w:rPr>
                <w:rStyle w:val="Style6"/>
                <w:rFonts w:eastAsia="Times New Roman" w:cs="Times New Roman"/>
                <w:b w:val="false"/>
                <w:bCs w:val="false"/>
                <w:i w:val="false"/>
                <w:iCs w:val="false"/>
                <w:strike w:val="false"/>
                <w:dstrike w:val="false"/>
                <w:outline w:val="false"/>
                <w:shadow w:val="false"/>
                <w:color w:val="auto"/>
                <w:kern w:val="0"/>
                <w:sz w:val="26"/>
                <w:szCs w:val="26"/>
                <w:u w:val="none"/>
                <w:em w:val="none"/>
                <w:lang w:val="uk-UA" w:eastAsia="ru-RU" w:bidi="ar-SA"/>
              </w:rPr>
              <w:t>кладання протоколів про адміністративні правопорушення у випадках несвоєчасного інформування Пенсійного фонду про нещасні випадки на виробництві</w:t>
            </w: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 xml:space="preserve">; </w:t>
            </w:r>
          </w:p>
          <w:p>
            <w:pPr>
              <w:pStyle w:val="Normal"/>
              <w:widowControl w:val="false"/>
              <w:suppressAutoHyphens w:val="true"/>
              <w:overflowPunct w:val="true"/>
              <w:bidi w:val="0"/>
              <w:spacing w:before="0" w:after="0"/>
              <w:ind w:left="57" w:right="57" w:firstLine="340"/>
              <w:jc w:val="both"/>
              <w:rPr/>
            </w:pPr>
            <w:r>
              <w:rPr>
                <w:rStyle w:val="Style6"/>
                <w:rFonts w:eastAsia="Times New Roman" w:cs="Times New Roman"/>
                <w:b w:val="false"/>
                <w:bCs w:val="false"/>
                <w:i w:val="false"/>
                <w:strike w:val="false"/>
                <w:dstrike w:val="false"/>
                <w:outline w:val="false"/>
                <w:shadow w:val="false"/>
                <w:color w:val="auto"/>
                <w:kern w:val="0"/>
                <w:sz w:val="26"/>
                <w:szCs w:val="26"/>
                <w:u w:val="none"/>
                <w:em w:val="none"/>
                <w:lang w:val="uk-UA" w:eastAsia="ru-RU" w:bidi="ar-SA"/>
              </w:rPr>
              <w:t>5) Забезпечення участі у навчанні і підвищенні рівня знань працівників підприємств (установ, організацій), які займаються питаннями охорони праці. Вивчення стану умов, безпеки, охорони праці та профілактичної роботи на підприємствах, у фізичних осіб, які використовують найману працю, з метою надання страхувальникам необхідних консультацій у створенні та реалізації ефективної системи управління охороною праці</w:t>
            </w: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ru-RU" w:bidi="ar-SA"/>
              </w:rPr>
              <w:t>;</w:t>
            </w:r>
          </w:p>
          <w:p>
            <w:pPr>
              <w:pStyle w:val="Normal"/>
              <w:widowControl w:val="false"/>
              <w:suppressAutoHyphens w:val="true"/>
              <w:overflowPunct w:val="true"/>
              <w:bidi w:val="0"/>
              <w:spacing w:before="0" w:after="0"/>
              <w:ind w:left="57" w:right="57" w:firstLine="340"/>
              <w:jc w:val="both"/>
              <w:rPr/>
            </w:pP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ru-RU" w:bidi="ar-SA"/>
              </w:rPr>
              <w:t>6) Забезпечення участі в організації та проведенні нарад, семінарів на підприємствах, на яких розглядають стан умов і безпеки праці, нормативно-правові акти, позитивний досвід у створенні безпечних та нешкідливих умов праці;</w:t>
            </w:r>
          </w:p>
          <w:p>
            <w:pPr>
              <w:pStyle w:val="Normal"/>
              <w:widowControl w:val="false"/>
              <w:suppressAutoHyphens w:val="true"/>
              <w:overflowPunct w:val="true"/>
              <w:bidi w:val="0"/>
              <w:spacing w:before="0" w:after="0"/>
              <w:ind w:left="57" w:right="57" w:firstLine="340"/>
              <w:jc w:val="both"/>
              <w:rPr/>
            </w:pP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ru-RU" w:bidi="ar-SA"/>
              </w:rPr>
              <w:t>7) Надання допомоги та участь у розробленні актів з охорони праці, що діють у межах підприємства, розроблення комплексних заходів щодо досягнення встановлених нормативів безпеки, гігієни праці та виробничого середовища, підвищення стану умов безпеки праці, запобігання випадкам виробничого травматизму, професійного захворювання;</w:t>
            </w:r>
          </w:p>
          <w:p>
            <w:pPr>
              <w:pStyle w:val="Style10"/>
              <w:widowControl w:val="false"/>
              <w:suppressAutoHyphens w:val="true"/>
              <w:overflowPunct w:val="true"/>
              <w:bidi w:val="0"/>
              <w:spacing w:lineRule="auto" w:line="240" w:before="0" w:after="0"/>
              <w:ind w:left="113" w:right="227" w:firstLine="340"/>
              <w:jc w:val="both"/>
              <w:rPr/>
            </w:pP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ru-RU" w:bidi="ar-SA"/>
              </w:rPr>
              <w:t>8) Розгляд / участь у розгляді звернень, заяв та скарг громадян, підприємств, установ та організацій, посадових осіб, запитів та звернень народних депутатів України, запитів на інформацію; надавати роз’яснення з питань, що належать до компетенції Відділу;</w:t>
            </w:r>
          </w:p>
          <w:p>
            <w:pPr>
              <w:pStyle w:val="Style10"/>
              <w:widowControl w:val="false"/>
              <w:suppressAutoHyphens w:val="true"/>
              <w:overflowPunct w:val="true"/>
              <w:bidi w:val="0"/>
              <w:spacing w:lineRule="auto" w:line="240" w:before="0" w:after="0"/>
              <w:ind w:left="113" w:right="227" w:firstLine="340"/>
              <w:jc w:val="both"/>
              <w:rPr/>
            </w:pPr>
            <w:r>
              <w:rPr>
                <w:rStyle w:val="Style6"/>
                <w:rFonts w:eastAsia="Times New Roman" w:cs="Times New Roman"/>
                <w:b w:val="false"/>
                <w:bCs w:val="false"/>
                <w:i w:val="false"/>
                <w:iCs w:val="false"/>
                <w:strike w:val="false"/>
                <w:dstrike w:val="false"/>
                <w:outline w:val="false"/>
                <w:shadow w:val="false"/>
                <w:color w:val="000000"/>
                <w:kern w:val="0"/>
                <w:sz w:val="26"/>
                <w:szCs w:val="26"/>
                <w:u w:val="none"/>
                <w:shd w:fill="FFFFFF" w:val="clear"/>
                <w:em w:val="none"/>
                <w:lang w:val="uk-UA" w:eastAsia="ru-RU" w:bidi="ar-SA"/>
              </w:rPr>
              <w:t>9) Вивчення та поширення позитивного досвіду щодо створення безпечних і нешкідливих умов праці, пропагування безпечних і нешкідливих умов праці, у тому числі через засоби масової інформації</w:t>
            </w:r>
            <w:r>
              <w:rPr>
                <w:rStyle w:val="Style6"/>
                <w:rFonts w:eastAsia="Times New Roman" w:cs="Times New Roman"/>
                <w:b w:val="false"/>
                <w:bCs w:val="false"/>
                <w:i w:val="false"/>
                <w:iCs w:val="false"/>
                <w:strike w:val="false"/>
                <w:dstrike w:val="false"/>
                <w:outline w:val="false"/>
                <w:shadow w:val="false"/>
                <w:color w:val="000000"/>
                <w:kern w:val="0"/>
                <w:sz w:val="26"/>
                <w:szCs w:val="26"/>
                <w:highlight w:val="white"/>
                <w:u w:val="none"/>
                <w:shd w:fill="FFFFFF" w:val="clear"/>
                <w:em w:val="none"/>
                <w:lang w:val="uk-UA" w:eastAsia="ru-RU" w:bidi="ar-SA"/>
              </w:rPr>
              <w:t>;</w:t>
            </w:r>
          </w:p>
          <w:p>
            <w:pPr>
              <w:pStyle w:val="Style10"/>
              <w:widowControl w:val="false"/>
              <w:suppressAutoHyphens w:val="true"/>
              <w:overflowPunct w:val="true"/>
              <w:bidi w:val="0"/>
              <w:spacing w:lineRule="auto" w:line="240" w:before="0" w:after="0"/>
              <w:ind w:left="113" w:right="227" w:firstLine="340"/>
              <w:jc w:val="both"/>
              <w:rPr/>
            </w:pPr>
            <w:r>
              <w:rPr>
                <w:rStyle w:val="Style6"/>
                <w:rFonts w:eastAsia="Times New Roman" w:cs="Times New Roman"/>
                <w:b w:val="false"/>
                <w:bCs w:val="false"/>
                <w:i w:val="false"/>
                <w:iCs w:val="false"/>
                <w:strike w:val="false"/>
                <w:dstrike w:val="false"/>
                <w:outline w:val="false"/>
                <w:shadow w:val="false"/>
                <w:color w:val="000000"/>
                <w:kern w:val="0"/>
                <w:sz w:val="26"/>
                <w:szCs w:val="26"/>
                <w:highlight w:val="white"/>
                <w:u w:val="none"/>
                <w:shd w:fill="FFFFFF" w:val="clear"/>
                <w:em w:val="none"/>
                <w:lang w:val="uk-UA" w:eastAsia="ru-RU" w:bidi="ar-SA"/>
              </w:rPr>
              <w:t>10) Надання адміністративних послуг відповідно до Закону України “Про адміністративну процедуру”.</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Умови оплати праці</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lineRule="auto" w:line="240" w:before="0" w:after="0"/>
              <w:ind w:left="0" w:right="57" w:firstLine="567"/>
              <w:jc w:val="both"/>
              <w:rPr>
                <w:sz w:val="26"/>
                <w:szCs w:val="26"/>
              </w:rPr>
            </w:pPr>
            <w:r>
              <w:rPr>
                <w:rFonts w:cs="Times New Roman"/>
                <w:sz w:val="26"/>
                <w:szCs w:val="26"/>
                <w:lang w:val="uk-UA"/>
              </w:rPr>
              <w:t>П</w:t>
            </w:r>
            <w:r>
              <w:rPr>
                <w:rFonts w:cs="Times New Roman"/>
                <w:sz w:val="26"/>
                <w:szCs w:val="26"/>
              </w:rPr>
              <w:t xml:space="preserve">осадовий оклад </w:t>
            </w:r>
            <w:r>
              <w:rPr>
                <w:rFonts w:eastAsia="Times New Roman" w:cs="Times New Roman"/>
                <w:sz w:val="26"/>
                <w:szCs w:val="26"/>
              </w:rPr>
              <w:t>‒</w:t>
            </w:r>
            <w:r>
              <w:rPr>
                <w:rFonts w:cs="Times New Roman"/>
                <w:sz w:val="26"/>
                <w:szCs w:val="26"/>
              </w:rPr>
              <w:t xml:space="preserve"> 25817,00</w:t>
            </w:r>
            <w:r>
              <w:rPr>
                <w:rFonts w:eastAsia="Times New Roman" w:cs="Times New Roman"/>
                <w:color w:val="00000A"/>
                <w:kern w:val="0"/>
                <w:sz w:val="26"/>
                <w:szCs w:val="26"/>
                <w:lang w:val="uk-UA" w:eastAsia="zh-CN" w:bidi="ar-SA"/>
              </w:rPr>
              <w:t xml:space="preserve"> грн згідно зі штатним розписом;</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r>
              <w:rPr>
                <w:rFonts w:eastAsia="Times New Roman" w:cs="Times New Roman"/>
                <w:color w:val="00000A"/>
                <w:kern w:val="0"/>
                <w:sz w:val="26"/>
                <w:szCs w:val="26"/>
                <w:lang w:val="en-US" w:eastAsia="zh-CN" w:bidi="ar-SA"/>
              </w:rPr>
              <w:t>”</w:t>
            </w:r>
            <w:r>
              <w:rPr>
                <w:rFonts w:eastAsia="Times New Roman" w:cs="Times New Roman"/>
                <w:color w:val="00000A"/>
                <w:kern w:val="0"/>
                <w:sz w:val="26"/>
                <w:szCs w:val="26"/>
                <w:lang w:val="uk-UA" w:eastAsia="zh-CN" w:bidi="ar-SA"/>
              </w:rPr>
              <w:t>;</w:t>
            </w:r>
          </w:p>
          <w:p>
            <w:pPr>
              <w:pStyle w:val="Normal"/>
              <w:widowControl w:val="false"/>
              <w:suppressAutoHyphens w:val="true"/>
              <w:bidi w:val="0"/>
              <w:spacing w:lineRule="auto" w:line="240" w:before="0" w:after="0"/>
              <w:ind w:left="0" w:right="57"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Інформація про строковість чи безстроковість призначення на посаду</w:t>
            </w:r>
          </w:p>
        </w:tc>
        <w:tc>
          <w:tcPr>
            <w:tcW w:w="6032"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57" w:right="113" w:firstLine="567"/>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032" w:type="dxa"/>
            <w:tcBorders>
              <w:left w:val="single" w:sz="2" w:space="0" w:color="000000"/>
              <w:bottom w:val="single" w:sz="2" w:space="0" w:color="000000"/>
              <w:right w:val="single" w:sz="2" w:space="0" w:color="000000"/>
            </w:tcBorders>
            <w:shd w:fill="auto" w:val="clear"/>
          </w:tcPr>
          <w:p>
            <w:pPr>
              <w:pStyle w:val="Style25"/>
              <w:widowControl w:val="false"/>
              <w:suppressAutoHyphens w:val="true"/>
              <w:bidi w:val="0"/>
              <w:spacing w:lineRule="auto" w:line="240" w:before="0" w:after="0"/>
              <w:ind w:left="57" w:right="57" w:firstLine="510"/>
              <w:jc w:val="both"/>
              <w:rPr>
                <w:color w:val="auto"/>
              </w:rPr>
            </w:pPr>
            <w:r>
              <w:rPr>
                <w:rFonts w:cs="Times New Roman"/>
                <w:bCs/>
                <w:color w:val="auto"/>
                <w:sz w:val="26"/>
                <w:szCs w:val="26"/>
              </w:rPr>
              <w:t xml:space="preserve">Особа, яка бажає взяти участь у доборі, подає </w:t>
            </w:r>
            <w:r>
              <w:rPr>
                <w:rFonts w:eastAsia="Times New Roman" w:cs="Times New Roman"/>
                <w:bCs/>
                <w:color w:val="auto"/>
                <w:kern w:val="0"/>
                <w:sz w:val="26"/>
                <w:szCs w:val="26"/>
                <w:lang w:val="uk-UA" w:eastAsia="zh-CN" w:bidi="ar-SA"/>
              </w:rPr>
              <w:t>Управлінню по роботі з персоналом</w:t>
            </w:r>
            <w:r>
              <w:rPr>
                <w:rFonts w:cs="Times New Roman"/>
                <w:bCs/>
                <w:color w:val="auto"/>
                <w:sz w:val="26"/>
                <w:szCs w:val="26"/>
              </w:rPr>
              <w:t>:</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заяв</w:t>
            </w:r>
            <w:r>
              <w:rPr>
                <w:rFonts w:eastAsia="Times New Roman" w:cs="Times New Roman"/>
                <w:bCs/>
                <w:color w:val="000000"/>
                <w:kern w:val="0"/>
                <w:sz w:val="26"/>
                <w:szCs w:val="26"/>
                <w:shd w:fill="FFFFFF" w:val="clear"/>
                <w:lang w:val="uk-UA" w:eastAsia="zh-CN" w:bidi="ar-SA"/>
              </w:rPr>
              <w:t>у;</w:t>
            </w:r>
          </w:p>
          <w:p>
            <w:pPr>
              <w:pStyle w:val="Style10"/>
              <w:widowControl w:val="false"/>
              <w:suppressAutoHyphens w:val="true"/>
              <w:bidi w:val="0"/>
              <w:spacing w:lineRule="auto" w:line="240" w:before="0" w:after="0"/>
              <w:ind w:left="57" w:right="57" w:firstLine="510"/>
              <w:jc w:val="both"/>
              <w:rPr>
                <w:color w:val="auto"/>
              </w:rPr>
            </w:pPr>
            <w:r>
              <w:rPr>
                <w:rFonts w:cs="Times New Roman"/>
                <w:bCs/>
                <w:color w:val="000000"/>
                <w:sz w:val="26"/>
                <w:szCs w:val="26"/>
                <w:shd w:fill="FFFFFF" w:val="clear"/>
              </w:rPr>
              <w:t>заповнен</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особов</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картк</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встановленого зразка;</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документ</w:t>
            </w:r>
            <w:r>
              <w:rPr>
                <w:rFonts w:eastAsia="Times New Roman" w:cs="Times New Roman"/>
                <w:bCs/>
                <w:color w:val="000000"/>
                <w:kern w:val="0"/>
                <w:sz w:val="26"/>
                <w:szCs w:val="26"/>
                <w:shd w:fill="FFFFFF" w:val="clear"/>
                <w:lang w:val="uk-UA" w:eastAsia="zh-CN" w:bidi="ar-SA"/>
              </w:rPr>
              <w:t>и</w:t>
            </w:r>
            <w:r>
              <w:rPr>
                <w:rFonts w:cs="Times New Roman"/>
                <w:bCs/>
                <w:color w:val="000000"/>
                <w:sz w:val="26"/>
                <w:szCs w:val="26"/>
                <w:shd w:fill="FFFFFF"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19"/>
              <w:widowControl w:val="false"/>
              <w:suppressLineNumbers/>
              <w:suppressAutoHyphens w:val="true"/>
              <w:bidi w:val="0"/>
              <w:spacing w:before="0" w:after="0"/>
              <w:ind w:left="0" w:right="170" w:firstLine="510"/>
              <w:jc w:val="both"/>
              <w:rPr>
                <w:color w:val="auto"/>
              </w:rPr>
            </w:pPr>
            <w:r>
              <w:rPr>
                <w:rFonts w:eastAsia="Times New Roman" w:cs="Times New Roman"/>
                <w:b w:val="false"/>
                <w:bCs w:val="false"/>
                <w:color w:val="000000"/>
                <w:kern w:val="0"/>
                <w:sz w:val="26"/>
                <w:szCs w:val="26"/>
                <w:shd w:fill="FFFFFF"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Style25"/>
              <w:widowControl w:val="false"/>
              <w:suppressAutoHyphens w:val="true"/>
              <w:bidi w:val="0"/>
              <w:spacing w:lineRule="auto" w:line="240" w:before="0" w:after="0"/>
              <w:ind w:left="0" w:right="57" w:firstLine="567"/>
              <w:jc w:val="both"/>
              <w:rPr>
                <w:color w:val="auto"/>
              </w:rPr>
            </w:pPr>
            <w:r>
              <w:rPr>
                <w:rFonts w:eastAsia="Times New Roman" w:cs="Times New Roman"/>
                <w:bCs/>
                <w:color w:val="auto"/>
                <w:spacing w:val="-6"/>
                <w:kern w:val="0"/>
                <w:sz w:val="26"/>
                <w:szCs w:val="26"/>
                <w:lang w:val="uk-UA" w:eastAsia="zh-CN" w:bidi="ar-SA"/>
              </w:rPr>
              <w:t>Д</w:t>
            </w:r>
            <w:r>
              <w:rPr>
                <w:rFonts w:eastAsia="Times New Roman" w:cs="Times New Roman"/>
                <w:bCs/>
                <w:color w:val="auto"/>
                <w:sz w:val="26"/>
                <w:szCs w:val="26"/>
              </w:rPr>
              <w:t>окументи</w:t>
            </w:r>
            <w:r>
              <w:rPr>
                <w:rFonts w:cs="Times New Roman"/>
                <w:bCs/>
                <w:color w:val="auto"/>
                <w:sz w:val="26"/>
                <w:szCs w:val="26"/>
              </w:rPr>
              <w:t xml:space="preserve"> прийма</w:t>
            </w:r>
            <w:r>
              <w:rPr>
                <w:rFonts w:eastAsia="Times New Roman" w:cs="Times New Roman"/>
                <w:bCs/>
                <w:color w:val="auto"/>
                <w:sz w:val="26"/>
                <w:szCs w:val="26"/>
              </w:rPr>
              <w:t>ю</w:t>
            </w:r>
            <w:r>
              <w:rPr>
                <w:rFonts w:cs="Times New Roman"/>
                <w:bCs/>
                <w:color w:val="auto"/>
                <w:sz w:val="26"/>
                <w:szCs w:val="26"/>
              </w:rPr>
              <w:t xml:space="preserve">ться до </w:t>
            </w:r>
            <w:r>
              <w:rPr>
                <w:rFonts w:cs="Times New Roman"/>
                <w:bCs/>
                <w:color w:val="auto"/>
                <w:spacing w:val="-6"/>
                <w:sz w:val="26"/>
                <w:szCs w:val="26"/>
              </w:rPr>
              <w:t>17:00 год 11</w:t>
            </w:r>
            <w:r>
              <w:rPr>
                <w:rFonts w:cs="Times New Roman"/>
                <w:bCs/>
                <w:color w:val="000000"/>
                <w:spacing w:val="-6"/>
                <w:sz w:val="26"/>
                <w:szCs w:val="26"/>
                <w:shd w:fill="auto" w:val="clear"/>
              </w:rPr>
              <w:t xml:space="preserve"> червня 2025 року включно.</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uppressAutoHyphens w:val="true"/>
              <w:bidi w:val="0"/>
              <w:spacing w:lineRule="auto" w:line="240" w:before="0" w:after="0"/>
              <w:ind w:left="0" w:right="57" w:firstLine="567"/>
              <w:jc w:val="both"/>
              <w:rPr>
                <w:color w:val="auto"/>
              </w:rPr>
            </w:pPr>
            <w:r>
              <w:rPr>
                <w:rFonts w:cs="Times New Roman"/>
                <w:b w:val="false"/>
                <w:bCs w:val="false"/>
                <w:color w:val="auto"/>
                <w:sz w:val="26"/>
                <w:szCs w:val="26"/>
              </w:rPr>
              <w:t>Співбесіда відбудеться 12</w:t>
            </w:r>
            <w:r>
              <w:rPr>
                <w:rFonts w:cs="Times New Roman"/>
                <w:b w:val="false"/>
                <w:bCs w:val="false"/>
                <w:color w:val="000000"/>
                <w:sz w:val="26"/>
                <w:szCs w:val="26"/>
                <w:shd w:fill="auto" w:val="clear"/>
              </w:rPr>
              <w:t xml:space="preserve"> червня 2025 </w:t>
            </w:r>
            <w:r>
              <w:rPr>
                <w:rFonts w:cs="Times New Roman"/>
                <w:b w:val="false"/>
                <w:bCs w:val="false"/>
                <w:color w:val="auto"/>
                <w:sz w:val="26"/>
                <w:szCs w:val="26"/>
              </w:rPr>
              <w:t>року</w:t>
            </w:r>
            <w:r>
              <w:rPr>
                <w:rFonts w:cs="Times New Roman"/>
                <w:color w:val="auto"/>
                <w:sz w:val="26"/>
                <w:szCs w:val="26"/>
              </w:rPr>
              <w:t xml:space="preserve"> за адресою: </w:t>
            </w:r>
            <w:r>
              <w:rPr>
                <w:rFonts w:eastAsia="Times New Roman" w:cs="Times New Roman"/>
                <w:color w:val="auto"/>
                <w:sz w:val="26"/>
                <w:szCs w:val="26"/>
                <w:lang w:val="uk-UA" w:eastAsia="zh-CN" w:bidi="ar-SA"/>
              </w:rPr>
              <w:t xml:space="preserve">м. Луцьк, Київський майдан, буд. 6 (проведення </w:t>
            </w:r>
            <w:r>
              <w:rPr>
                <w:rFonts w:eastAsia="Times New Roman" w:cs="Times New Roman"/>
                <w:color w:val="auto"/>
                <w:kern w:val="0"/>
                <w:sz w:val="26"/>
                <w:szCs w:val="26"/>
                <w:lang w:val="uk-UA" w:eastAsia="zh-CN" w:bidi="ar-SA"/>
              </w:rPr>
              <w:t>співбесіди</w:t>
            </w:r>
            <w:r>
              <w:rPr>
                <w:rFonts w:eastAsia="Times New Roman" w:cs="Times New Roman"/>
                <w:color w:val="auto"/>
                <w:sz w:val="26"/>
                <w:szCs w:val="26"/>
                <w:lang w:val="uk-UA" w:eastAsia="zh-CN" w:bidi="ar-SA"/>
              </w:rPr>
              <w:t xml:space="preserve"> за фізичної присутності кандидатів).</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lineRule="auto" w:line="240" w:before="0" w:after="0"/>
              <w:ind w:left="57" w:right="113" w:firstLine="567"/>
              <w:jc w:val="both"/>
              <w:rPr/>
            </w:pPr>
            <w:r>
              <w:rPr>
                <w:rFonts w:eastAsia="Times New Roman" w:cs="Times New Roman"/>
                <w:color w:val="00000A"/>
                <w:kern w:val="0"/>
                <w:sz w:val="26"/>
                <w:szCs w:val="26"/>
                <w:lang w:val="uk-UA" w:eastAsia="zh-CN" w:bidi="ar-SA"/>
              </w:rPr>
              <w:t>Левчук Володимир Михайлович,</w:t>
            </w:r>
          </w:p>
          <w:p>
            <w:pPr>
              <w:pStyle w:val="Normal"/>
              <w:widowControl w:val="false"/>
              <w:suppressAutoHyphens w:val="true"/>
              <w:overflowPunct w:val="true"/>
              <w:bidi w:val="0"/>
              <w:spacing w:lineRule="auto" w:line="240" w:before="0" w:after="0"/>
              <w:ind w:left="57" w:right="113" w:firstLine="567"/>
              <w:jc w:val="both"/>
              <w:rPr>
                <w:rFonts w:ascii="Times New Roman" w:hAnsi="Times New Roman" w:eastAsia="Times New Roman" w:cs="Times New Roman"/>
                <w:color w:val="00000A"/>
                <w:kern w:val="0"/>
                <w:sz w:val="26"/>
                <w:szCs w:val="26"/>
                <w:lang w:val="uk-UA" w:eastAsia="zh-CN" w:bidi="ar-SA"/>
              </w:rPr>
            </w:pPr>
            <w:bookmarkStart w:id="0" w:name="__DdeLink__1086_2661462546"/>
            <w:r>
              <w:rPr>
                <w:rFonts w:eastAsia="Times New Roman" w:cs="Times New Roman"/>
                <w:color w:val="00000A"/>
                <w:kern w:val="0"/>
                <w:sz w:val="26"/>
                <w:szCs w:val="26"/>
                <w:lang w:val="uk-UA" w:eastAsia="zh-CN" w:bidi="ar-SA"/>
              </w:rPr>
              <w:t>Козицька Галина Стефанівна</w:t>
            </w:r>
            <w:bookmarkEnd w:id="0"/>
          </w:p>
          <w:p>
            <w:pPr>
              <w:pStyle w:val="Normal"/>
              <w:widowControl w:val="false"/>
              <w:spacing w:lineRule="auto" w:line="240" w:before="0" w:after="0"/>
              <w:ind w:left="0" w:right="0" w:hanging="0"/>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28-10-35</w:t>
            </w:r>
          </w:p>
          <w:p>
            <w:pPr>
              <w:pStyle w:val="Normal"/>
              <w:widowControl w:val="false"/>
              <w:suppressAutoHyphens w:val="true"/>
              <w:bidi w:val="0"/>
              <w:spacing w:lineRule="auto" w:line="240" w:before="0" w:after="0"/>
              <w:ind w:left="0" w:right="0" w:hanging="0"/>
              <w:jc w:val="both"/>
              <w:rPr>
                <w:rFonts w:eastAsia="Times New Roman" w:cs="Times New Roman"/>
                <w:color w:val="00000A"/>
                <w:kern w:val="0"/>
                <w:sz w:val="26"/>
                <w:szCs w:val="26"/>
                <w:lang w:val="uk-UA" w:eastAsia="zh-CN" w:bidi="ar-SA"/>
              </w:rPr>
            </w:pPr>
            <w:r>
              <w:rPr>
                <w:rFonts w:eastAsia="Times New Roman" w:cs="Times New Roman"/>
                <w:color w:val="00000A"/>
                <w:kern w:val="0"/>
                <w:sz w:val="26"/>
                <w:szCs w:val="26"/>
                <w:lang w:val="uk-UA" w:eastAsia="zh-CN" w:bidi="ar-SA"/>
              </w:rPr>
              <w:t>28-10-62</w:t>
            </w:r>
          </w:p>
          <w:p>
            <w:pPr>
              <w:pStyle w:val="Normal"/>
              <w:widowControl w:val="false"/>
              <w:spacing w:lineRule="auto" w:line="240" w:before="0" w:after="0"/>
              <w:ind w:left="0" w:right="0" w:hanging="0"/>
              <w:jc w:val="both"/>
              <w:rPr/>
            </w:pPr>
            <w:r>
              <w:rPr>
                <w:rFonts w:eastAsia="Times New Roman" w:cs="Times New Roman"/>
                <w:color w:val="000000"/>
                <w:kern w:val="0"/>
                <w:sz w:val="26"/>
                <w:szCs w:val="26"/>
                <w:shd w:fill="FFFFFF" w:val="clear"/>
                <w:lang w:val="en-US" w:eastAsia="zh-CN" w:bidi="ar-SA"/>
              </w:rPr>
              <w:t xml:space="preserve">E-mail: </w:t>
            </w:r>
            <w:hyperlink r:id="rId2">
              <w:r>
                <w:rPr>
                  <w:rStyle w:val="Style7"/>
                  <w:rFonts w:eastAsia="Times New Roman" w:cs="Times New Roman"/>
                  <w:kern w:val="0"/>
                  <w:sz w:val="26"/>
                  <w:szCs w:val="26"/>
                  <w:highlight w:val="white"/>
                  <w:lang w:val="en-US"/>
                </w:rPr>
                <w:t>personal@vl.pfu.gov.ua</w:t>
              </w:r>
            </w:hyperlink>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b w:val="false"/>
                <w:b w:val="false"/>
                <w:bCs w:val="false"/>
                <w:sz w:val="26"/>
                <w:szCs w:val="26"/>
              </w:rPr>
            </w:pPr>
            <w:r>
              <w:rPr>
                <w:b w:val="false"/>
                <w:bCs w:val="false"/>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1073"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Освіта</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hd w:val="clear" w:fill="FFFFFF"/>
              <w:tabs>
                <w:tab w:val="clear" w:pos="720"/>
                <w:tab w:val="left" w:pos="823" w:leader="none"/>
                <w:tab w:val="left" w:pos="8221" w:leader="none"/>
              </w:tabs>
              <w:suppressAutoHyphens w:val="true"/>
              <w:overflowPunct w:val="false"/>
              <w:bidi w:val="0"/>
              <w:spacing w:lineRule="exact" w:line="302" w:before="0" w:after="0"/>
              <w:ind w:left="57" w:right="113" w:firstLine="624"/>
              <w:jc w:val="both"/>
              <w:rPr/>
            </w:pPr>
            <w:r>
              <w:rPr>
                <w:rStyle w:val="CharStyle7"/>
                <w:sz w:val="26"/>
                <w:szCs w:val="26"/>
              </w:rPr>
              <w:t>Вища спеціальна освіта за фахом спеціаліста з охорони праці або вища освіта за спеціальністю “Ерготерапія”, або вища технічна чи медична освіта.</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Досвід роботи</w:t>
            </w:r>
          </w:p>
        </w:tc>
        <w:tc>
          <w:tcPr>
            <w:tcW w:w="6032"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227" w:firstLine="567"/>
              <w:jc w:val="both"/>
              <w:rPr>
                <w:rFonts w:eastAsia="Times New Roman" w:cs="Times New Roman"/>
                <w:b w:val="false"/>
                <w:b w:val="false"/>
                <w:i w:val="false"/>
                <w:i w:val="false"/>
                <w:caps w:val="false"/>
                <w:smallCaps w:val="false"/>
                <w:color w:val="00000A"/>
                <w:spacing w:val="0"/>
                <w:kern w:val="0"/>
                <w:sz w:val="26"/>
                <w:szCs w:val="26"/>
                <w:lang w:val="uk-UA" w:eastAsia="zh-CN" w:bidi="ar-SA"/>
              </w:rPr>
            </w:pPr>
            <w:r>
              <w:rPr>
                <w:rFonts w:eastAsia="Times New Roman" w:cs="Times New Roman"/>
                <w:b w:val="false"/>
                <w:i w:val="false"/>
                <w:caps w:val="false"/>
                <w:smallCaps w:val="false"/>
                <w:color w:val="00000A"/>
                <w:spacing w:val="0"/>
                <w:kern w:val="0"/>
                <w:sz w:val="26"/>
                <w:szCs w:val="26"/>
                <w:lang w:val="uk-UA" w:eastAsia="zh-CN" w:bidi="ar-SA"/>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ніж два роки.</w:t>
            </w:r>
          </w:p>
          <w:p>
            <w:pPr>
              <w:pStyle w:val="Style19"/>
              <w:widowControl w:val="false"/>
              <w:suppressLineNumbers/>
              <w:suppressAutoHyphens w:val="true"/>
              <w:overflowPunct w:val="false"/>
              <w:bidi w:val="0"/>
              <w:spacing w:before="0" w:after="0"/>
              <w:ind w:left="57" w:right="227" w:firstLine="567"/>
              <w:jc w:val="both"/>
              <w:rPr>
                <w:rFonts w:eastAsia="Times New Roman" w:cs="Times New Roman"/>
                <w:b w:val="false"/>
                <w:b w:val="false"/>
                <w:i w:val="false"/>
                <w:i w:val="false"/>
                <w:caps w:val="false"/>
                <w:smallCaps w:val="false"/>
                <w:color w:val="00000A"/>
                <w:spacing w:val="0"/>
                <w:kern w:val="0"/>
                <w:sz w:val="26"/>
                <w:szCs w:val="26"/>
                <w:lang w:val="uk-UA" w:eastAsia="zh-CN" w:bidi="ar-SA"/>
              </w:rPr>
            </w:pPr>
            <w:r>
              <w:rPr>
                <w:rFonts w:eastAsia="Times New Roman" w:cs="Times New Roman"/>
                <w:b w:val="false"/>
                <w:i w:val="false"/>
                <w:caps w:val="false"/>
                <w:smallCaps w:val="false"/>
                <w:color w:val="00000A"/>
                <w:spacing w:val="0"/>
                <w:kern w:val="0"/>
                <w:sz w:val="26"/>
                <w:szCs w:val="26"/>
                <w:lang w:val="uk-UA" w:eastAsia="zh-CN" w:bidi="ar-SA"/>
              </w:rPr>
              <w:t>Досвід роботи на підприємстві не менше трьох років та відповідне посвідчення, яке видається у порядку, встановленому Кабінетом Міністрів України.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Володіння державною мовою</w:t>
            </w:r>
          </w:p>
        </w:tc>
        <w:tc>
          <w:tcPr>
            <w:tcW w:w="6032" w:type="dxa"/>
            <w:tcBorders>
              <w:left w:val="single" w:sz="2" w:space="0" w:color="000000"/>
              <w:bottom w:val="single" w:sz="2" w:space="0" w:color="000000"/>
              <w:right w:val="single" w:sz="2" w:space="0" w:color="000000"/>
            </w:tcBorders>
            <w:shd w:fill="auto" w:val="clear"/>
          </w:tcPr>
          <w:p>
            <w:pPr>
              <w:pStyle w:val="Rvps14"/>
              <w:widowControl w:val="false"/>
              <w:suppressAutoHyphens w:val="true"/>
              <w:overflowPunct w:val="true"/>
              <w:bidi w:val="0"/>
              <w:spacing w:lineRule="atLeast" w:line="100" w:before="150" w:after="150"/>
              <w:ind w:left="57" w:right="227" w:firstLine="624"/>
              <w:jc w:val="left"/>
              <w:textAlignment w:val="baseline"/>
              <w:rPr>
                <w:rFonts w:cs="Times New Roman"/>
                <w:sz w:val="26"/>
                <w:szCs w:val="26"/>
              </w:rPr>
            </w:pPr>
            <w:r>
              <w:rPr>
                <w:rFonts w:cs="Times New Roman"/>
                <w:sz w:val="26"/>
                <w:szCs w:val="26"/>
              </w:rPr>
              <w:t>Вільне володіння державною мовою.</w:t>
            </w:r>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Вимоги до компетентності</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b/>
                <w:b/>
                <w:bCs/>
                <w:sz w:val="26"/>
                <w:szCs w:val="26"/>
              </w:rPr>
            </w:pPr>
            <w:r>
              <w:rPr>
                <w:b/>
                <w:bCs/>
                <w:sz w:val="26"/>
                <w:szCs w:val="26"/>
              </w:rPr>
              <w:t>Вимога</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jc w:val="both"/>
              <w:rPr>
                <w:b/>
                <w:b/>
                <w:bCs/>
                <w:sz w:val="26"/>
                <w:szCs w:val="26"/>
              </w:rPr>
            </w:pPr>
            <w:r>
              <w:rPr>
                <w:b/>
                <w:bCs/>
                <w:sz w:val="26"/>
                <w:szCs w:val="26"/>
              </w:rPr>
              <w:t>Компоненти вимоги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Лідерство</w:t>
            </w:r>
          </w:p>
        </w:tc>
        <w:tc>
          <w:tcPr>
            <w:tcW w:w="6032"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57" w:right="57" w:firstLine="510"/>
              <w:jc w:val="both"/>
              <w:rPr>
                <w:sz w:val="26"/>
                <w:szCs w:val="26"/>
              </w:rPr>
            </w:pPr>
            <w:r>
              <w:rPr>
                <w:sz w:val="26"/>
                <w:szCs w:val="26"/>
              </w:rPr>
              <w:t>Вміння мотивувати до ефективної професійної діяльності;</w:t>
            </w:r>
          </w:p>
          <w:p>
            <w:pPr>
              <w:pStyle w:val="Style19"/>
              <w:widowControl w:val="false"/>
              <w:suppressLineNumbers/>
              <w:suppressAutoHyphens w:val="true"/>
              <w:bidi w:val="0"/>
              <w:spacing w:before="0" w:after="0"/>
              <w:ind w:left="0" w:right="57" w:firstLine="567"/>
              <w:jc w:val="both"/>
              <w:rPr>
                <w:sz w:val="26"/>
                <w:szCs w:val="26"/>
              </w:rPr>
            </w:pPr>
            <w:r>
              <w:rPr>
                <w:sz w:val="26"/>
                <w:szCs w:val="26"/>
              </w:rPr>
              <w:t>сприяння всебічному розвитку особистості;</w:t>
            </w:r>
          </w:p>
          <w:p>
            <w:pPr>
              <w:pStyle w:val="Style19"/>
              <w:widowControl w:val="false"/>
              <w:suppressLineNumbers/>
              <w:suppressAutoHyphens w:val="true"/>
              <w:bidi w:val="0"/>
              <w:spacing w:before="0" w:after="0"/>
              <w:ind w:left="57" w:right="57" w:firstLine="510"/>
              <w:jc w:val="both"/>
              <w:rPr>
                <w:sz w:val="26"/>
                <w:szCs w:val="26"/>
              </w:rPr>
            </w:pPr>
            <w:r>
              <w:rPr>
                <w:sz w:val="26"/>
                <w:szCs w:val="26"/>
              </w:rPr>
              <w:t>здатність до формування ефективної організаційної культури державної служби.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Досягнення результатів</w:t>
            </w:r>
          </w:p>
        </w:tc>
        <w:tc>
          <w:tcPr>
            <w:tcW w:w="6032"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до чіткого бачення результату діяльності;</w:t>
            </w:r>
          </w:p>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bidi w:val="0"/>
              <w:spacing w:before="0" w:after="0"/>
              <w:ind w:left="-57" w:right="57" w:firstLine="624"/>
              <w:jc w:val="both"/>
              <w:rPr>
                <w:sz w:val="26"/>
                <w:szCs w:val="26"/>
              </w:rPr>
            </w:pPr>
            <w:r>
              <w:rPr>
                <w:sz w:val="26"/>
                <w:szCs w:val="26"/>
              </w:rPr>
              <w:t>вміння запобігати та ефективно долати перешкоди.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Відповідальність</w:t>
            </w:r>
          </w:p>
        </w:tc>
        <w:tc>
          <w:tcPr>
            <w:tcW w:w="6032"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67"/>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bidi w:val="0"/>
              <w:spacing w:before="0" w:after="0"/>
              <w:ind w:left="0" w:right="57" w:firstLine="510"/>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bidi w:val="0"/>
              <w:spacing w:before="0" w:after="0"/>
              <w:ind w:left="0" w:right="57" w:firstLine="567"/>
              <w:jc w:val="both"/>
              <w:rPr>
                <w:sz w:val="26"/>
                <w:szCs w:val="26"/>
              </w:rPr>
            </w:pPr>
            <w:r>
              <w:rPr>
                <w:sz w:val="26"/>
                <w:szCs w:val="26"/>
              </w:rPr>
              <w:t>здатність брати на себе зобов’язання, чітко їх дотримуватись і виконувати.</w:t>
            </w:r>
          </w:p>
        </w:tc>
      </w:tr>
      <w:tr>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4.</w:t>
            </w:r>
          </w:p>
        </w:tc>
        <w:tc>
          <w:tcPr>
            <w:tcW w:w="307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Цифрова грамотність</w:t>
            </w:r>
          </w:p>
        </w:tc>
        <w:tc>
          <w:tcPr>
            <w:tcW w:w="6032"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bidi w:val="0"/>
              <w:spacing w:before="0" w:after="0"/>
              <w:ind w:left="0" w:right="57" w:firstLine="567"/>
              <w:jc w:val="both"/>
              <w:rPr>
                <w:sz w:val="26"/>
                <w:szCs w:val="26"/>
              </w:rPr>
            </w:pPr>
            <w:r>
              <w:rPr>
                <w:sz w:val="26"/>
                <w:szCs w:val="26"/>
              </w:rPr>
              <w:t>вміння використовувати сервіси Інтернету для ефективного пошуку потрібної інформації; 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bidi w:val="0"/>
              <w:spacing w:before="0" w:after="0"/>
              <w:ind w:left="0" w:right="57" w:firstLine="510"/>
              <w:jc w:val="both"/>
              <w:rPr>
                <w:sz w:val="26"/>
                <w:szCs w:val="26"/>
              </w:rPr>
            </w:pPr>
            <w:r>
              <w:rPr>
                <w:sz w:val="26"/>
                <w:szCs w:val="26"/>
              </w:rPr>
              <w:t>здатність уникати небезпек у цифровому середовищі, захищати особисті та конфіденційні дані;</w:t>
            </w:r>
          </w:p>
          <w:p>
            <w:pPr>
              <w:pStyle w:val="Style19"/>
              <w:widowControl w:val="false"/>
              <w:suppressLineNumbers/>
              <w:suppressAutoHyphens w:val="true"/>
              <w:bidi w:val="0"/>
              <w:spacing w:before="0" w:after="0"/>
              <w:ind w:left="0" w:right="57" w:firstLine="56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645" w:type="dxa"/>
            <w:gridSpan w:val="3"/>
            <w:tcBorders>
              <w:left w:val="single" w:sz="2" w:space="0" w:color="000000"/>
              <w:bottom w:val="single" w:sz="2" w:space="0" w:color="000000"/>
              <w:right w:val="single" w:sz="2" w:space="0" w:color="000000"/>
            </w:tcBorders>
            <w:shd w:fill="auto" w:val="clear"/>
          </w:tcPr>
          <w:p>
            <w:pPr>
              <w:pStyle w:val="Style19"/>
              <w:widowControl w:val="false"/>
              <w:jc w:val="center"/>
              <w:rPr>
                <w:b/>
                <w:b/>
                <w:bCs/>
                <w:sz w:val="26"/>
                <w:szCs w:val="26"/>
              </w:rPr>
            </w:pPr>
            <w:r>
              <w:rPr>
                <w:b/>
                <w:bCs/>
                <w:sz w:val="26"/>
                <w:szCs w:val="26"/>
              </w:rPr>
              <w:t>Професійні знання</w:t>
            </w:r>
          </w:p>
        </w:tc>
      </w:tr>
      <w:tr>
        <w:trPr/>
        <w:tc>
          <w:tcPr>
            <w:tcW w:w="3613" w:type="dxa"/>
            <w:gridSpan w:val="2"/>
            <w:tcBorders>
              <w:left w:val="single" w:sz="2" w:space="0" w:color="000000"/>
              <w:bottom w:val="single" w:sz="2" w:space="0" w:color="000000"/>
            </w:tcBorders>
            <w:shd w:fill="auto" w:val="clear"/>
          </w:tcPr>
          <w:p>
            <w:pPr>
              <w:pStyle w:val="Style19"/>
              <w:widowControl w:val="false"/>
              <w:jc w:val="both"/>
              <w:rPr>
                <w:b/>
                <w:b/>
                <w:bCs/>
                <w:sz w:val="26"/>
                <w:szCs w:val="26"/>
              </w:rPr>
            </w:pPr>
            <w:r>
              <w:rPr>
                <w:b/>
                <w:bCs/>
                <w:sz w:val="26"/>
                <w:szCs w:val="26"/>
              </w:rPr>
              <w:t>Вимога</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jc w:val="both"/>
              <w:rPr>
                <w:b/>
                <w:b/>
                <w:bCs/>
                <w:sz w:val="26"/>
                <w:szCs w:val="26"/>
              </w:rPr>
            </w:pPr>
            <w:r>
              <w:rPr>
                <w:b/>
                <w:bCs/>
                <w:sz w:val="26"/>
                <w:szCs w:val="26"/>
              </w:rPr>
              <w:t>Компоненти вимоги</w:t>
            </w:r>
          </w:p>
        </w:tc>
      </w:tr>
      <w:tr>
        <w:trPr>
          <w:trHeight w:val="1299"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307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left="-57" w:right="57" w:firstLine="624"/>
              <w:jc w:val="both"/>
              <w:rPr>
                <w:sz w:val="26"/>
                <w:szCs w:val="26"/>
              </w:rPr>
            </w:pPr>
            <w:r>
              <w:rPr>
                <w:sz w:val="26"/>
                <w:szCs w:val="26"/>
              </w:rPr>
              <w:t>Конституції України від 28 червня 1996 року;</w:t>
            </w:r>
          </w:p>
          <w:p>
            <w:pPr>
              <w:pStyle w:val="Normal"/>
              <w:widowControl w:val="false"/>
              <w:suppressAutoHyphens w:val="true"/>
              <w:overflowPunct w:val="true"/>
              <w:bidi w:val="0"/>
              <w:spacing w:before="0" w:after="0"/>
              <w:ind w:left="0" w:right="57" w:firstLine="567"/>
              <w:jc w:val="both"/>
              <w:rPr>
                <w:sz w:val="26"/>
                <w:szCs w:val="26"/>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true"/>
              <w:bidi w:val="0"/>
              <w:spacing w:before="0" w:after="0"/>
              <w:ind w:left="0" w:right="57" w:firstLine="567"/>
              <w:jc w:val="both"/>
              <w:rPr>
                <w:sz w:val="26"/>
                <w:szCs w:val="26"/>
              </w:rPr>
            </w:pPr>
            <w:r>
              <w:rPr>
                <w:rFonts w:eastAsia="Times New Roman" w:cs="Times New Roman"/>
                <w:sz w:val="26"/>
                <w:szCs w:val="26"/>
              </w:rPr>
              <w:t xml:space="preserve">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true"/>
              <w:bidi w:val="0"/>
              <w:spacing w:before="0" w:after="0"/>
              <w:ind w:left="57" w:right="57" w:firstLine="510"/>
              <w:jc w:val="both"/>
              <w:rPr>
                <w:sz w:val="26"/>
                <w:szCs w:val="26"/>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true"/>
              <w:bidi w:val="0"/>
              <w:spacing w:before="0" w:after="0"/>
              <w:ind w:left="0" w:right="57" w:firstLine="624"/>
              <w:jc w:val="both"/>
              <w:rPr>
                <w:sz w:val="26"/>
                <w:szCs w:val="26"/>
              </w:rPr>
            </w:pPr>
            <w:r>
              <w:rPr>
                <w:sz w:val="26"/>
                <w:szCs w:val="26"/>
              </w:rPr>
              <w:t>Закону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43"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307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032"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true"/>
              <w:bidi w:val="0"/>
              <w:spacing w:before="0" w:after="0"/>
              <w:ind w:left="57" w:right="57" w:firstLine="567"/>
              <w:jc w:val="both"/>
              <w:rPr>
                <w:sz w:val="26"/>
                <w:szCs w:val="26"/>
              </w:rPr>
            </w:pPr>
            <w:r>
              <w:rPr>
                <w:sz w:val="26"/>
                <w:szCs w:val="26"/>
                <w:lang w:val="uk-UA" w:eastAsia="zh-CN" w:bidi="ar-SA"/>
              </w:rPr>
              <w:t>З</w:t>
            </w:r>
            <w:r>
              <w:rPr>
                <w:sz w:val="26"/>
                <w:szCs w:val="26"/>
              </w:rPr>
              <w:t>акону України</w:t>
            </w:r>
            <w:r>
              <w:rPr>
                <w:sz w:val="26"/>
                <w:szCs w:val="26"/>
                <w:lang w:val="en-US"/>
              </w:rPr>
              <w:t xml:space="preserve"> </w:t>
            </w:r>
            <w:r>
              <w:rPr>
                <w:sz w:val="26"/>
                <w:szCs w:val="26"/>
              </w:rPr>
              <w:t>“Про загальнообов’язкове державне пенсійне страхування” від 09 липня 2003 року № 1058-</w:t>
            </w:r>
            <w:r>
              <w:rPr>
                <w:sz w:val="26"/>
                <w:szCs w:val="26"/>
                <w:lang w:val="en-US"/>
              </w:rPr>
              <w:t>VI</w:t>
            </w:r>
            <w:r>
              <w:rPr>
                <w:sz w:val="26"/>
                <w:szCs w:val="26"/>
              </w:rPr>
              <w:t>;</w:t>
            </w:r>
          </w:p>
          <w:p>
            <w:pPr>
              <w:pStyle w:val="Normal"/>
              <w:widowControl w:val="false"/>
              <w:suppressAutoHyphens w:val="true"/>
              <w:overflowPunct w:val="true"/>
              <w:bidi w:val="0"/>
              <w:spacing w:before="0" w:after="0"/>
              <w:ind w:left="57" w:right="57" w:firstLine="624"/>
              <w:jc w:val="both"/>
              <w:rPr>
                <w:rFonts w:ascii="Times New Roman" w:hAnsi="Times New Roman"/>
              </w:rPr>
            </w:pPr>
            <w:r>
              <w:rPr>
                <w:b w:val="false"/>
                <w:bCs w:val="false"/>
                <w:i w:val="false"/>
                <w:caps w:val="false"/>
                <w:smallCaps w:val="false"/>
                <w:color w:val="000000"/>
                <w:spacing w:val="0"/>
                <w:sz w:val="26"/>
                <w:szCs w:val="26"/>
                <w:shd w:fill="auto" w:val="clear"/>
                <w:lang w:val="en-US" w:eastAsia="zh-CN" w:bidi="ar-SA"/>
              </w:rPr>
              <w:t>Закону України “Про загальнообов’язкове державне соціальне страхування” від 23 вересня 1999 року № 1105-XIV;</w:t>
            </w:r>
            <w:bookmarkStart w:id="1" w:name="__DdeLink__950_1541986854"/>
          </w:p>
          <w:p>
            <w:pPr>
              <w:pStyle w:val="Normal"/>
              <w:widowControl w:val="false"/>
              <w:ind w:left="0" w:right="0" w:firstLine="567"/>
              <w:jc w:val="both"/>
              <w:rPr/>
            </w:pPr>
            <w:r>
              <w:rPr>
                <w:b w:val="false"/>
                <w:bCs w:val="false"/>
                <w:i w:val="false"/>
                <w:caps w:val="false"/>
                <w:smallCaps w:val="false"/>
                <w:color w:val="000000"/>
                <w:spacing w:val="0"/>
                <w:sz w:val="26"/>
                <w:szCs w:val="26"/>
              </w:rPr>
              <w:t>Постанови Кабінету Міністрів України “Про затвердження Положення про Пенсійний фонд України” від 23 липня 2014 року № 280;</w:t>
            </w:r>
          </w:p>
          <w:p>
            <w:pPr>
              <w:pStyle w:val="Style10"/>
              <w:widowControl w:val="false"/>
              <w:ind w:left="0" w:right="57" w:firstLine="567"/>
              <w:jc w:val="both"/>
              <w:rPr/>
            </w:pPr>
            <w:r>
              <w:rPr>
                <w:b w:val="false"/>
                <w:bCs w:val="false"/>
                <w:i w:val="false"/>
                <w:caps w:val="false"/>
                <w:smallCaps w:val="false"/>
                <w:color w:val="000000"/>
                <w:spacing w:val="0"/>
                <w:sz w:val="26"/>
                <w:szCs w:val="26"/>
              </w:rPr>
              <w:t>Постанови правління Пенсійного фонду України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від 26 січня 2024 року № 4-1.</w:t>
            </w:r>
            <w:bookmarkEnd w:id="1"/>
          </w:p>
        </w:tc>
      </w:tr>
    </w:tbl>
    <w:p>
      <w:pPr>
        <w:pStyle w:val="Normal"/>
        <w:suppressAutoHyphens w:val="false"/>
        <w:snapToGrid w:val="false"/>
        <w:jc w:val="center"/>
        <w:rPr/>
      </w:pPr>
      <w:r>
        <w:rPr/>
      </w:r>
    </w:p>
    <w:p>
      <w:pPr>
        <w:pStyle w:val="Normal"/>
        <w:suppressAutoHyphens w:val="false"/>
        <w:snapToGrid w:val="false"/>
        <w:jc w:val="center"/>
        <w:rPr/>
      </w:pPr>
      <w:r>
        <w:rPr/>
        <w:t>______________________________</w:t>
      </w:r>
    </w:p>
    <w:sectPr>
      <w:headerReference w:type="default" r:id="rId3"/>
      <w:headerReference w:type="first" r:id="rId4"/>
      <w:type w:val="nextPage"/>
      <w:pgSz w:w="11906" w:h="16838"/>
      <w:pgMar w:left="1701" w:right="567" w:gutter="0" w:header="1134" w:top="1716" w:footer="0" w:bottom="1134"/>
      <w:pgNumType w:fmt="decimal"/>
      <w:formProt w:val="false"/>
      <w:titlePg/>
      <w:textDirection w:val="lrTb"/>
      <w:docGrid w:type="default" w:linePitch="60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right"/>
      <w:rPr/>
    </w:pPr>
    <w:r>
      <w:rPr>
        <w:sz w:val="26"/>
        <w:szCs w:val="26"/>
      </w:rPr>
      <w:fldChar w:fldCharType="begin"/>
    </w:r>
    <w:r>
      <w:rPr>
        <w:sz w:val="26"/>
        <w:szCs w:val="26"/>
      </w:rPr>
      <w:instrText xml:space="preserve"> PAGE </w:instrText>
    </w:r>
    <w:r>
      <w:rPr>
        <w:sz w:val="26"/>
        <w:szCs w:val="26"/>
      </w:rPr>
      <w:fldChar w:fldCharType="separate"/>
    </w:r>
    <w:r>
      <w:rPr>
        <w:sz w:val="26"/>
        <w:szCs w:val="26"/>
      </w:rPr>
      <w:t>5</w:t>
    </w:r>
    <w:r>
      <w:rPr>
        <w:sz w:val="26"/>
        <w:szCs w:val="26"/>
      </w:rPr>
      <w:fldChar w:fldCharType="end"/>
    </w:r>
    <w:r>
      <w:rPr>
        <w:sz w:val="26"/>
        <w:szCs w:val="26"/>
      </w:rPr>
      <w:t xml:space="preserve">                                        </w:t>
    </w:r>
    <w:r>
      <w:rPr>
        <w:sz w:val="26"/>
        <w:szCs w:val="26"/>
      </w:rPr>
      <w:t>Продовження додатка</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qFormat/>
    <w:pPr>
      <w:keepNext w:val="true"/>
      <w:outlineLvl w:val="0"/>
    </w:pPr>
    <w:rPr>
      <w:b/>
      <w:sz w:val="28"/>
    </w:rPr>
  </w:style>
  <w:style w:type="paragraph" w:styleId="2">
    <w:name w:val="Heading 2"/>
    <w:basedOn w:val="Normal"/>
    <w:next w:val="Normal"/>
    <w:qFormat/>
    <w:pPr>
      <w:keepNext w:val="true"/>
      <w:jc w:val="center"/>
      <w:outlineLvl w:val="1"/>
    </w:pPr>
    <w:rPr>
      <w:b/>
      <w:sz w:val="32"/>
      <w:lang w:val="ru-RU"/>
    </w:rPr>
  </w:style>
  <w:style w:type="paragraph" w:styleId="3">
    <w:name w:val="Heading 3"/>
    <w:basedOn w:val="Normal"/>
    <w:next w:val="Normal"/>
    <w:qFormat/>
    <w:pPr>
      <w:keepNext w:val="true"/>
      <w:spacing w:lineRule="atLeast" w:line="240"/>
      <w:outlineLvl w:val="2"/>
    </w:pPr>
    <w:rPr>
      <w:sz w:val="28"/>
    </w:rPr>
  </w:style>
  <w:style w:type="paragraph" w:styleId="4">
    <w:name w:val="Heading 4"/>
    <w:basedOn w:val="Normal"/>
    <w:next w:val="Normal"/>
    <w:qFormat/>
    <w:pPr>
      <w:keepNext w:val="true"/>
      <w:spacing w:lineRule="atLeast" w:line="240"/>
      <w:ind w:left="0" w:right="3712" w:hanging="0"/>
      <w:outlineLvl w:val="3"/>
    </w:pPr>
    <w:rPr>
      <w:b/>
      <w:sz w:val="28"/>
    </w:rPr>
  </w:style>
  <w:style w:type="paragraph" w:styleId="5">
    <w:name w:val="Heading 5"/>
    <w:basedOn w:val="Normal"/>
    <w:next w:val="Normal"/>
    <w:qFormat/>
    <w:pPr>
      <w:keepNext w:val="true"/>
      <w:jc w:val="right"/>
      <w:outlineLvl w:val="4"/>
    </w:pPr>
    <w:rPr>
      <w:sz w:val="24"/>
      <w:lang w:val="en-US"/>
    </w:rPr>
  </w:style>
  <w:style w:type="paragraph" w:styleId="6">
    <w:name w:val="Heading 6"/>
    <w:basedOn w:val="Style9"/>
    <w:qFormat/>
    <w:pPr>
      <w:outlineLvl w:val="5"/>
    </w:pPr>
    <w:rPr>
      <w:b/>
      <w:bCs/>
      <w:sz w:val="21"/>
      <w:szCs w:val="21"/>
    </w:rPr>
  </w:style>
  <w:style w:type="paragraph" w:styleId="7">
    <w:name w:val="Heading 7"/>
    <w:basedOn w:val="Style9"/>
    <w:qFormat/>
    <w:pPr>
      <w:outlineLvl w:val="6"/>
    </w:pPr>
    <w:rPr>
      <w:b/>
      <w:bCs/>
      <w:sz w:val="21"/>
      <w:szCs w:val="21"/>
    </w:rPr>
  </w:style>
  <w:style w:type="paragraph" w:styleId="8">
    <w:name w:val="Heading 8"/>
    <w:basedOn w:val="Style9"/>
    <w:qFormat/>
    <w:pPr>
      <w:outlineLvl w:val="7"/>
    </w:pPr>
    <w:rPr>
      <w:b/>
      <w:bCs/>
      <w:sz w:val="21"/>
      <w:szCs w:val="21"/>
    </w:rPr>
  </w:style>
  <w:style w:type="paragraph" w:styleId="9">
    <w:name w:val="Heading 9"/>
    <w:basedOn w:val="Style9"/>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basedOn w:val="DefaultParagraphFont"/>
    <w:qFormat/>
    <w:rPr>
      <w:rFonts w:eastAsia="Times New Roman"/>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tru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31">
    <w:name w:val="Название3"/>
    <w:basedOn w:val="Normal"/>
    <w:qFormat/>
    <w:pPr>
      <w:spacing w:before="120" w:after="120"/>
    </w:pPr>
    <w:rPr>
      <w:rFonts w:cs="Mangal"/>
      <w:i/>
      <w:iCs/>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Style31">
    <w:name w:val="Содержимое фрейма"/>
    <w:qFormat/>
    <w:pPr>
      <w:widowControl/>
      <w:suppressAutoHyphens w:val="true"/>
      <w:overflowPunct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Style32">
    <w:name w:val="Вміст рам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2075</TotalTime>
  <Application>LibreOffice/7.4.3.2$Windows_X86_64 LibreOffice_project/1048a8393ae2eeec98dff31b5c133c5f1d08b890</Application>
  <AppVersion>15.0000</AppVersion>
  <Pages>5</Pages>
  <Words>1108</Words>
  <Characters>7625</Characters>
  <CharactersWithSpaces>8679</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cp:lastPrinted>2025-06-04T11:37:29Z</cp:lastPrinted>
  <dcterms:modified xsi:type="dcterms:W3CDTF">2025-06-04T14:23:36Z</dcterms:modified>
  <cp:revision>348</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