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ЗАТВЕРДЖЕНО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 xml:space="preserve">Наказ Головного управління 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Пенсійного фонду України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 Волинській області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17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___________№___________</w:t>
      </w:r>
    </w:p>
    <w:p>
      <w:pPr>
        <w:pStyle w:val="Normal"/>
        <w:widowControl/>
        <w:suppressAutoHyphens w:val="false"/>
        <w:bidi w:val="0"/>
        <w:snapToGrid w:val="false"/>
        <w:spacing w:before="0" w:after="170"/>
        <w:ind w:hanging="0" w:left="5556" w:right="0"/>
        <w:jc w:val="left"/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УМОВИ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проведення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добору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на зайняття посади</w:t>
      </w: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 xml:space="preserve"> державної служби категорії “В”-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 xml:space="preserve">головного спеціаліста-юрисконсульта сектору договірної роботи 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highlight w:val="white"/>
          <w:u w:val="none"/>
          <w:shd w:fill="FFFFFF" w:val="clear"/>
          <w:lang w:val="uk-UA" w:eastAsia="uk-UA" w:bidi="uk-UA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highlight w:val="white"/>
          <w:u w:val="none"/>
          <w:shd w:fill="FFFFFF" w:val="clear"/>
          <w:lang w:val="uk-UA" w:eastAsia="uk-UA" w:bidi="uk-UA"/>
        </w:rPr>
        <w:t>Юридичного управління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(класифікаційний код посади </w:t>
      </w:r>
      <w:r>
        <w:rPr>
          <w:b w:val="false"/>
          <w:bCs w:val="false"/>
          <w:color w:val="000000"/>
          <w:sz w:val="26"/>
          <w:szCs w:val="26"/>
          <w:lang w:val="en-US"/>
        </w:rPr>
        <w:t>19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uk-UA" w:eastAsia="zh-CN" w:bidi="hi-IN"/>
        </w:rPr>
        <w:t>-VІІІ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en-US" w:eastAsia="zh-CN" w:bidi="hi-IN"/>
        </w:rPr>
        <w:t>-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uk-UA" w:eastAsia="zh-CN" w:bidi="hi-IN"/>
        </w:rPr>
        <w:t xml:space="preserve">2,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6"/>
          <w:szCs w:val="26"/>
          <w:lang w:val="uk-UA" w:eastAsia="uk-UA"/>
        </w:rPr>
        <w:t>м. Луцьк, Київський майдан, буд. 6)</w:t>
      </w:r>
    </w:p>
    <w:p>
      <w:pPr>
        <w:pStyle w:val="Normal"/>
        <w:suppressAutoHyphens w:val="false"/>
        <w:snapToGrid w:val="false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tbl>
      <w:tblPr>
        <w:tblW w:w="970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58"/>
        <w:gridCol w:w="2960"/>
        <w:gridCol w:w="1"/>
        <w:gridCol w:w="6186"/>
      </w:tblGrid>
      <w:tr>
        <w:trPr/>
        <w:tc>
          <w:tcPr>
            <w:tcW w:w="970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Посадові обов'язки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 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Підготовка проєктів договорів (угод), здійснення заходів, спрямованих на виконання договірних зобов'язань, забезпечення захисту майнових прав і законних інтересів Головного управління</w:t>
            </w:r>
            <w:r>
              <w:rPr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 н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адання консультаційної допомоги заінтересованим структурним підрозділам Головного управління, забезпечення участі у підготовці, укладенні та контролі за виконанням господарських договорів (контрактів) з іншими підприємствами, установами та організаціями, надання правової оцінки їх проєктам; перевірка під час підготовки та укладення договорів (контрактів) додержання вимог законодавства про публічні закупівлі; у разі необхідності розроблення пропозицій щодо внесення до проєкту змін та доповнень, підготовка обґрунтованого висновку з всебічною оцінкою проєкту; здійснення реєстрації та обліку договорів, укладених Головним управлінням;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 р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еєстрація договорів в окремому журналі та в електронному журналі. Здійснення аналізу та узагальнення інформації щодо укладання та виконання договорів Головним управлінням;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 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outline w:val="false"/>
                <w:shadow w:val="false"/>
                <w:color w:val="000000"/>
                <w:spacing w:val="0"/>
                <w:kern w:val="0"/>
                <w:sz w:val="26"/>
                <w:szCs w:val="26"/>
                <w:u w:val="none"/>
                <w:effect w:val="none"/>
                <w:em w:val="none"/>
                <w:lang w:val="uk-UA" w:eastAsia="en-US" w:bidi="ar-SA"/>
              </w:rPr>
              <w:t>з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дійснення оформлення та своєчасного подання відповідної звітності до Пенсійного фонду України;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outline w:val="false"/>
                <w:shadow w:val="false"/>
                <w:color w:val="000000"/>
                <w:spacing w:val="0"/>
                <w:kern w:val="0"/>
                <w:sz w:val="26"/>
                <w:szCs w:val="26"/>
                <w:u w:val="none"/>
                <w:effect w:val="none"/>
                <w:em w:val="none"/>
                <w:lang w:val="uk-UA" w:eastAsia="en-US" w:bidi="ar-SA"/>
              </w:rPr>
              <w:t>5) у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часть у розробці проєктів тендерної документації при закупівлі товарів, робіт і послуг для забезпечення потреб Головного управління.</w:t>
            </w:r>
          </w:p>
        </w:tc>
      </w:tr>
      <w:tr>
        <w:trPr>
          <w:trHeight w:val="1312" w:hRule="atLeast"/>
        </w:trPr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Умови оплати праці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/>
              </w:rPr>
              <w:t>П</w:t>
            </w:r>
            <w:r>
              <w:rPr>
                <w:sz w:val="26"/>
                <w:szCs w:val="26"/>
              </w:rPr>
              <w:t>осадовий оклад — 15996,00</w:t>
            </w:r>
            <w:r>
              <w:rPr>
                <w:sz w:val="26"/>
                <w:szCs w:val="26"/>
                <w:lang w:val="uk-UA" w:eastAsia="zh-CN" w:bidi="ar-SA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 w:eastAsia="zh-CN" w:bidi="ar-SA"/>
              </w:rPr>
              <w:t>надбавка за вислугу років, надбавка за ранг державного службовця, премія та грошова допомога відповідно до статей 52, 57 Закону України “Про державну службу;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 w:eastAsia="zh-CN" w:bidi="ar-SA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 15 “Питання оплати праці працівників державних органів” (зі змінами).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 w:eastAsia="zh-CN" w:bidi="ar-SA"/>
              </w:rPr>
              <w:t>Призначення на посаду строкове - до призначення на цю посаду переможця конкурсу, але не більше ніж 12 місяців з дня  припинення чи скасування воєнного стану; при призначенні на посаду встановлюється випробування строком від 1 до 6 місяців.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hanging="57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Перелік інформації необхідної для участі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у доборі</w:t>
            </w:r>
            <w:r>
              <w:rPr>
                <w:sz w:val="26"/>
                <w:szCs w:val="26"/>
              </w:rPr>
              <w:t>, та строк її подання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7"/>
              <w:widowControl w:val="false"/>
              <w:suppressAutoHyphens w:val="true"/>
              <w:bidi w:val="0"/>
              <w:spacing w:lineRule="auto" w:line="240" w:before="0" w:after="0"/>
              <w:ind w:firstLine="510" w:left="57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auto"/>
                <w:sz w:val="26"/>
                <w:szCs w:val="26"/>
              </w:rPr>
              <w:t xml:space="preserve">Особа, яка бажає взяти участь у доборі, подає </w:t>
            </w:r>
            <w:r>
              <w:rPr>
                <w:rFonts w:eastAsia="Times New Roman" w:cs="Times New Roman"/>
                <w:bCs/>
                <w:color w:val="auto"/>
                <w:kern w:val="0"/>
                <w:sz w:val="26"/>
                <w:szCs w:val="26"/>
                <w:lang w:val="uk-UA" w:eastAsia="zh-CN" w:bidi="ar-SA"/>
              </w:rPr>
              <w:t>Управлінню по роботі з персоналом</w:t>
            </w:r>
            <w:r>
              <w:rPr>
                <w:rFonts w:cs="Times New Roman"/>
                <w:bCs/>
                <w:color w:val="auto"/>
                <w:sz w:val="26"/>
                <w:szCs w:val="26"/>
              </w:rPr>
              <w:t>: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shd w:fill="FFFFFF" w:val="clear"/>
                <w:lang w:val="uk-UA" w:eastAsia="zh-CN" w:bidi="ar-SA"/>
              </w:rPr>
              <w:t>резюме;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документ, що посвідчує особу та підтверджує  громадянство України;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реєстраційний номер облікової картки платника податків;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документ про освіту;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color w:val="auto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FFFFFF" w:val="clear"/>
              </w:rPr>
              <w:t>документи, що підтверджують досвід роботи згідно з вимогами законодавства, встановленими щодо відповідних посад.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color w:val="auto"/>
              </w:rPr>
            </w:pPr>
            <w:r>
              <w:rPr>
                <w:color w:val="auto"/>
                <w:sz w:val="26"/>
                <w:szCs w:val="26"/>
                <w:lang w:val="uk-UA" w:eastAsia="zh-CN" w:bidi="ar-SA"/>
              </w:rPr>
              <w:t>Документи</w:t>
            </w:r>
            <w:r>
              <w:rPr>
                <w:color w:val="auto"/>
                <w:sz w:val="26"/>
                <w:szCs w:val="26"/>
              </w:rPr>
              <w:t xml:space="preserve"> прийма</w:t>
            </w:r>
            <w:r>
              <w:rPr>
                <w:color w:val="auto"/>
                <w:sz w:val="26"/>
                <w:szCs w:val="26"/>
                <w:lang w:val="uk-UA" w:eastAsia="zh-CN" w:bidi="ar-SA"/>
              </w:rPr>
              <w:t>ю</w:t>
            </w:r>
            <w:r>
              <w:rPr>
                <w:color w:val="auto"/>
                <w:sz w:val="26"/>
                <w:szCs w:val="26"/>
              </w:rPr>
              <w:t xml:space="preserve">ться до </w:t>
            </w:r>
            <w:r>
              <w:rPr>
                <w:color w:val="auto"/>
                <w:sz w:val="26"/>
                <w:szCs w:val="26"/>
                <w:lang w:val="en-US"/>
              </w:rPr>
              <w:t>17</w:t>
            </w:r>
            <w:r>
              <w:rPr>
                <w:color w:val="auto"/>
                <w:sz w:val="26"/>
                <w:szCs w:val="26"/>
              </w:rPr>
              <w:t>:00 години 03 грудня 2025  року включно.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color w:val="auto"/>
              </w:rPr>
            </w:pPr>
            <w:r>
              <w:rPr>
                <w:color w:val="auto"/>
                <w:sz w:val="26"/>
                <w:szCs w:val="26"/>
              </w:rPr>
              <w:t xml:space="preserve">Співбесіда </w:t>
            </w:r>
            <w:r>
              <w:rPr>
                <w:color w:val="auto"/>
                <w:sz w:val="26"/>
                <w:szCs w:val="26"/>
                <w:lang w:val="uk-UA" w:eastAsia="zh-CN" w:bidi="ar-SA"/>
              </w:rPr>
              <w:t xml:space="preserve"> </w:t>
            </w:r>
            <w:r>
              <w:rPr>
                <w:color w:val="auto"/>
                <w:sz w:val="26"/>
                <w:szCs w:val="26"/>
              </w:rPr>
              <w:t>відбудеться 04 грудня</w:t>
            </w:r>
            <w:r>
              <w:rPr>
                <w:color w:val="auto"/>
                <w:sz w:val="26"/>
                <w:szCs w:val="26"/>
                <w:lang w:val="uk-UA" w:eastAsia="zh-CN" w:bidi="ar-SA"/>
              </w:rPr>
              <w:t xml:space="preserve"> 2025</w:t>
            </w:r>
            <w:r>
              <w:rPr>
                <w:color w:val="auto"/>
                <w:sz w:val="26"/>
                <w:szCs w:val="26"/>
              </w:rPr>
              <w:t xml:space="preserve"> року, за адресою </w:t>
            </w:r>
            <w:r>
              <w:rPr>
                <w:color w:val="auto"/>
                <w:sz w:val="26"/>
                <w:szCs w:val="26"/>
                <w:lang w:val="uk-UA" w:eastAsia="zh-CN" w:bidi="ar-SA"/>
              </w:rPr>
              <w:t>м. Луцьк, Київський майдан, 6 (проведення співбесіди за фізичної присутності кандидатів).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Прізвище, ім'я та по батькові, номер телефону та адреса електронної пошти особи, яка надає додаткову інформацію з питань проведення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добору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Левчук Володимир Михайлович,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Козицька Галина Стефанівна</w:t>
            </w:r>
          </w:p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bidi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 w:eastAsia="zh-CN" w:bidi="ar-SA"/>
              </w:rPr>
              <w:t>28-10-62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  <w:lang w:val="en-US" w:eastAsia="zh-CN" w:bidi="ar-SA"/>
              </w:rPr>
              <w:t xml:space="preserve">E-mail: </w:t>
            </w:r>
            <w:hyperlink r:id="rId2">
              <w:r>
                <w:rPr>
                  <w:rStyle w:val="Hyperlink"/>
                  <w:sz w:val="26"/>
                  <w:szCs w:val="26"/>
                  <w:lang w:val="en-US"/>
                </w:rPr>
                <w:t>personal@vl.pfu.gov.ua</w:t>
              </w:r>
            </w:hyperlink>
          </w:p>
        </w:tc>
      </w:tr>
      <w:tr>
        <w:trPr/>
        <w:tc>
          <w:tcPr>
            <w:tcW w:w="970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Style12"/>
              <w:widowControl w:val="false"/>
              <w:jc w:val="both"/>
              <w:rPr>
                <w:rFonts w:ascii="Times New Roman" w:hAnsi="Times New Roman"/>
                <w:b w:val="false"/>
                <w:bCs w:val="false"/>
                <w:sz w:val="26"/>
                <w:szCs w:val="26"/>
              </w:rPr>
            </w:pPr>
            <w:r>
              <w:rPr>
                <w:b w:val="false"/>
                <w:bCs w:val="false"/>
                <w:sz w:val="26"/>
                <w:szCs w:val="26"/>
              </w:rPr>
            </w:r>
          </w:p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Обов’язковою вимогою до осіб, які претендують на посаду є наявність громадянства України та відсутність громадянства інших держав.</w:t>
            </w:r>
          </w:p>
        </w:tc>
      </w:tr>
      <w:tr>
        <w:trPr>
          <w:trHeight w:val="794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ind w:firstLine="567" w:left="57" w:right="57"/>
              <w:jc w:val="both"/>
              <w:rPr/>
            </w:pPr>
            <w:r>
              <w:rPr>
                <w:rStyle w:val="CharStyle7"/>
                <w:sz w:val="26"/>
                <w:szCs w:val="26"/>
              </w:rPr>
              <w:t>Вища юридична освіта за освітнім ступенем не нижче бакалавра, молодшого бакалавра.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AutoHyphens w:val="true"/>
              <w:overflowPunct w:val="true"/>
              <w:bidi w:val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Без </w:t>
            </w:r>
            <w:r>
              <w:rPr>
                <w:sz w:val="26"/>
                <w:szCs w:val="26"/>
                <w:lang w:val="uk-UA" w:eastAsia="zh-CN" w:bidi="ar-SA"/>
              </w:rPr>
              <w:t>вимог до досвіду роботи.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Rvps14"/>
              <w:widowControl w:val="false"/>
              <w:suppressAutoHyphens w:val="true"/>
              <w:overflowPunct w:val="true"/>
              <w:bidi w:val="0"/>
              <w:spacing w:before="100" w:after="10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мовою.</w:t>
            </w:r>
          </w:p>
        </w:tc>
      </w:tr>
      <w:tr>
        <w:trPr/>
        <w:tc>
          <w:tcPr>
            <w:tcW w:w="970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Досягнення результатів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Відповідальність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брати на себе зобов'язання, чітко їх дотримуватись і виконувати.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Цифрова грамотність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використовувати комп'ютерні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уникати небезпек в цифровому середовищі, захищати особисті та конфіденційні дані;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70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51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1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624" w:left="-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Конституції України від 28 червня 1996 року;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567" w:left="0" w:right="5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Закону України від 10 грудня  2015  року  № 889-</w:t>
            </w:r>
            <w:r>
              <w:rPr>
                <w:rFonts w:eastAsia="Times New Roman" w:cs="Times New Roman"/>
                <w:sz w:val="26"/>
                <w:szCs w:val="26"/>
                <w:lang w:val="en-US"/>
              </w:rPr>
              <w:t xml:space="preserve">VIII </w:t>
            </w:r>
            <w:r>
              <w:rPr>
                <w:rFonts w:eastAsia="Times New Roman" w:cs="Times New Roman"/>
                <w:sz w:val="26"/>
                <w:szCs w:val="26"/>
              </w:rPr>
              <w:t>“Про державну службу”</w:t>
            </w:r>
            <w:r>
              <w:rPr>
                <w:rFonts w:eastAsia="Times New Roman" w:cs="Times New Roman"/>
                <w:sz w:val="26"/>
                <w:szCs w:val="26"/>
                <w:lang w:val="en-US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567" w:left="0" w:right="5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Закону України від 14 жовтня 2014 року № 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 xml:space="preserve">1700-VII </w:t>
            </w:r>
            <w:r>
              <w:rPr>
                <w:rFonts w:eastAsia="Times New Roman" w:cs="Times New Roman"/>
                <w:sz w:val="26"/>
                <w:szCs w:val="26"/>
              </w:rPr>
              <w:t>“Про запобігання корупції”;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510" w:left="57" w:right="5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Закону України  від  13 січня 2011 року   № 2939-</w:t>
            </w:r>
            <w:r>
              <w:rPr>
                <w:rFonts w:eastAsia="Times New Roman" w:cs="Times New Roman"/>
                <w:sz w:val="26"/>
                <w:szCs w:val="26"/>
                <w:lang w:val="en-US"/>
              </w:rPr>
              <w:t xml:space="preserve">VI </w:t>
            </w:r>
            <w:r>
              <w:rPr>
                <w:rFonts w:eastAsia="Times New Roman" w:cs="Times New Roman"/>
                <w:sz w:val="26"/>
                <w:szCs w:val="26"/>
              </w:rPr>
              <w:t>“П</w:t>
            </w:r>
            <w:r>
              <w:rPr>
                <w:sz w:val="26"/>
                <w:szCs w:val="26"/>
              </w:rPr>
              <w:t>ро доступ до публічної інформації”;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firstLine="624" w:left="0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Закону України від 01 червня 2010 року № 2297-</w:t>
            </w:r>
            <w:r>
              <w:rPr>
                <w:sz w:val="26"/>
                <w:szCs w:val="26"/>
                <w:lang w:val="en-US"/>
              </w:rPr>
              <w:t xml:space="preserve">VI </w:t>
            </w:r>
            <w:r>
              <w:rPr>
                <w:sz w:val="26"/>
                <w:szCs w:val="26"/>
              </w:rPr>
              <w:t>“Про захист персональних даних”</w:t>
            </w:r>
            <w:r>
              <w:rPr>
                <w:sz w:val="26"/>
                <w:szCs w:val="26"/>
                <w:lang w:val="en-US"/>
              </w:rPr>
              <w:t>.</w:t>
            </w:r>
          </w:p>
        </w:tc>
      </w:tr>
      <w:tr>
        <w:trPr>
          <w:trHeight w:val="2110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96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18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0" w:right="5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Цивільного кодексу України від 16.01.2003 № 435-IV;</w:t>
              <w:br/>
              <w:t xml:space="preserve">   Закону України від 25.12.2015 № 922-VIII “Про публічні закупівлі”;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0" w:right="5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п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 xml:space="preserve">останови Кабінету Міністрів України від 12.10.2022 № 1178 </w:t>
            </w: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“П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ро затвердження особливостей здійснення публічних закупівель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скасування”;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0" w:right="5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п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 xml:space="preserve">останови Кабінету Міністрів України від 14.09.2020 № 822 </w:t>
            </w: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“П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  <w:lang w:val="uk-UA"/>
              </w:rPr>
              <w:t>ро затвердження Порядку формування та використання електронного каталогу”.</w:t>
            </w:r>
          </w:p>
          <w:p>
            <w:pPr>
              <w:pStyle w:val="BodyText1"/>
              <w:widowControl w:val="false"/>
              <w:suppressAutoHyphens w:val="true"/>
              <w:overflowPunct w:val="true"/>
              <w:bidi w:val="0"/>
              <w:spacing w:lineRule="atLeast" w:line="240" w:before="0" w:after="0"/>
              <w:ind w:firstLine="624" w:left="0" w:right="5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</w:tbl>
    <w:p>
      <w:pPr>
        <w:pStyle w:val="Normal"/>
        <w:suppressAutoHyphens w:val="false"/>
        <w:snapToGrid w:val="false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false"/>
        <w:snapToGrid w:val="false"/>
        <w:jc w:val="center"/>
        <w:rPr/>
      </w:pPr>
      <w:r>
        <w:rPr>
          <w:sz w:val="26"/>
          <w:szCs w:val="26"/>
        </w:rPr>
        <w:t>__________________________</w:t>
      </w:r>
    </w:p>
    <w:p>
      <w:pPr>
        <w:pStyle w:val="Normal"/>
        <w:suppressAutoHyphens w:val="false"/>
        <w:snapToGrid w:val="false"/>
        <w:jc w:val="center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default" r:id="rId3"/>
      <w:headerReference w:type="first" r:id="rId4"/>
      <w:type w:val="nextPage"/>
      <w:pgSz w:w="11906" w:h="16838"/>
      <w:pgMar w:left="1701" w:right="567" w:gutter="0" w:header="794" w:top="1310" w:footer="0" w:bottom="1134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sz w:val="26"/>
        <w:szCs w:val="26"/>
      </w:rPr>
    </w:pPr>
    <w:r>
      <w:rPr>
        <w:sz w:val="26"/>
        <w:szCs w:val="26"/>
      </w:rPr>
      <w:t xml:space="preserve">                                                                      </w:t>
    </w:r>
    <w:bookmarkStart w:id="0" w:name="PageNumWizard_HEADER_Типовий_стиль_сторі"/>
    <w:r>
      <w:rPr>
        <w:sz w:val="26"/>
        <w:szCs w:val="26"/>
      </w:rPr>
      <w:fldChar w:fldCharType="begin"/>
    </w:r>
    <w:r>
      <w:rPr>
        <w:sz w:val="26"/>
        <w:szCs w:val="26"/>
      </w:rPr>
      <w:instrText xml:space="preserve"> PAGE </w:instrText>
    </w:r>
    <w:r>
      <w:rPr>
        <w:sz w:val="26"/>
        <w:szCs w:val="26"/>
      </w:rPr>
      <w:fldChar w:fldCharType="separate"/>
    </w:r>
    <w:r>
      <w:rPr>
        <w:sz w:val="26"/>
        <w:szCs w:val="26"/>
      </w:rPr>
      <w:t>4</w:t>
    </w:r>
    <w:r>
      <w:rPr>
        <w:sz w:val="26"/>
        <w:szCs w:val="26"/>
      </w:rPr>
      <w:fldChar w:fldCharType="end"/>
    </w:r>
    <w:bookmarkEnd w:id="0"/>
    <w:r>
      <w:rPr>
        <w:sz w:val="26"/>
        <w:szCs w:val="26"/>
      </w:rPr>
      <w:t xml:space="preserve">                                    </w:t>
    </w:r>
    <w:r>
      <w:rPr>
        <w:sz w:val="26"/>
        <w:szCs w:val="26"/>
      </w:rPr>
      <w:t>Продовження додатка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  <w:bookmarkStart w:id="1" w:name="PageNumWizard_HEADER_Типовий_стиль_стор1"/>
    <w:bookmarkStart w:id="2" w:name="PageNumWizard_HEADER_Типовий_стиль_стор1"/>
    <w:bookmarkEnd w:id="2"/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 w:val="true"/>
      <w:jc w:val="center"/>
      <w:outlineLvl w:val="1"/>
    </w:pPr>
    <w:rPr>
      <w:b/>
      <w:sz w:val="32"/>
      <w:lang w:val="ru-RU"/>
    </w:rPr>
  </w:style>
  <w:style w:type="paragraph" w:styleId="Heading3">
    <w:name w:val="Heading 3"/>
    <w:basedOn w:val="Normal"/>
    <w:next w:val="Normal"/>
    <w:link w:val="Heading3Char"/>
    <w:qFormat/>
    <w:pPr>
      <w:keepNext w:val="true"/>
      <w:spacing w:lineRule="atLeast" w:line="240"/>
      <w:outlineLvl w:val="2"/>
    </w:pPr>
    <w:rPr>
      <w:sz w:val="28"/>
    </w:rPr>
  </w:style>
  <w:style w:type="paragraph" w:styleId="Heading4">
    <w:name w:val="Heading 4"/>
    <w:basedOn w:val="Normal"/>
    <w:next w:val="Normal"/>
    <w:link w:val="Heading4Char"/>
    <w:qFormat/>
    <w:pPr>
      <w:keepNext w:val="true"/>
      <w:spacing w:lineRule="atLeast" w:line="240"/>
      <w:ind w:hanging="0" w:left="0" w:right="3712"/>
      <w:outlineLvl w:val="3"/>
    </w:pPr>
    <w:rPr>
      <w:b/>
      <w:sz w:val="28"/>
    </w:rPr>
  </w:style>
  <w:style w:type="paragraph" w:styleId="Heading5">
    <w:name w:val="Heading 5"/>
    <w:basedOn w:val="Normal"/>
    <w:next w:val="Normal"/>
    <w:link w:val="Heading5Char"/>
    <w:qFormat/>
    <w:pPr>
      <w:keepNext w:val="true"/>
      <w:jc w:val="right"/>
      <w:outlineLvl w:val="4"/>
    </w:pPr>
    <w:rPr>
      <w:sz w:val="24"/>
      <w:lang w:val="en-US"/>
    </w:rPr>
  </w:style>
  <w:style w:type="paragraph" w:styleId="Heading6">
    <w:name w:val="Heading 6"/>
    <w:basedOn w:val="Style7"/>
    <w:link w:val="Heading6Char"/>
    <w:qFormat/>
    <w:pPr>
      <w:outlineLvl w:val="5"/>
    </w:pPr>
    <w:rPr>
      <w:b/>
      <w:bCs/>
      <w:sz w:val="21"/>
      <w:szCs w:val="21"/>
    </w:rPr>
  </w:style>
  <w:style w:type="paragraph" w:styleId="Heading7">
    <w:name w:val="Heading 7"/>
    <w:basedOn w:val="Style7"/>
    <w:link w:val="Heading7Char"/>
    <w:qFormat/>
    <w:pPr>
      <w:outlineLvl w:val="6"/>
    </w:pPr>
    <w:rPr>
      <w:b/>
      <w:bCs/>
      <w:sz w:val="21"/>
      <w:szCs w:val="21"/>
    </w:rPr>
  </w:style>
  <w:style w:type="paragraph" w:styleId="Heading8">
    <w:name w:val="Heading 8"/>
    <w:basedOn w:val="Style7"/>
    <w:link w:val="Heading8Char"/>
    <w:qFormat/>
    <w:pPr>
      <w:outlineLvl w:val="7"/>
    </w:pPr>
    <w:rPr>
      <w:b/>
      <w:bCs/>
      <w:sz w:val="21"/>
      <w:szCs w:val="21"/>
    </w:rPr>
  </w:style>
  <w:style w:type="paragraph" w:styleId="Heading9">
    <w:name w:val="Heading 9"/>
    <w:basedOn w:val="Style7"/>
    <w:link w:val="Heading9Char"/>
    <w:qFormat/>
    <w:pPr>
      <w:outlineLvl w:val="8"/>
    </w:pPr>
    <w:rPr>
      <w:b/>
      <w:bCs/>
      <w:sz w:val="21"/>
      <w:szCs w:val="21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Heading2Char">
    <w:name w:val="Heading 2 Char"/>
    <w:basedOn w:val="DefaultParagraphFont"/>
    <w:qFormat/>
    <w:rPr>
      <w:rFonts w:ascii="Cambria" w:hAnsi="Cambria" w:eastAsia="Lucida Sans Unicode" w:cs="Mangal"/>
      <w:b/>
      <w:bCs/>
      <w:i/>
      <w:iCs/>
      <w:color w:val="00000A"/>
      <w:sz w:val="28"/>
      <w:szCs w:val="28"/>
      <w:lang w:eastAsia="zh-CN"/>
    </w:rPr>
  </w:style>
  <w:style w:type="character" w:styleId="Heading3Char">
    <w:name w:val="Heading 3 Char"/>
    <w:basedOn w:val="DefaultParagraphFont"/>
    <w:qFormat/>
    <w:rPr>
      <w:rFonts w:ascii="Cambria" w:hAnsi="Cambria" w:eastAsia="Lucida Sans Unicode" w:cs="Mangal"/>
      <w:b/>
      <w:bCs/>
      <w:color w:val="00000A"/>
      <w:sz w:val="26"/>
      <w:szCs w:val="26"/>
      <w:lang w:eastAsia="zh-CN"/>
    </w:rPr>
  </w:style>
  <w:style w:type="character" w:styleId="Heading4Char">
    <w:name w:val="Heading 4 Char"/>
    <w:basedOn w:val="DefaultParagraphFont"/>
    <w:qFormat/>
    <w:rPr>
      <w:rFonts w:ascii="Calibri" w:hAnsi="Calibri" w:eastAsia="Lucida Sans Unicode" w:cs="Mangal"/>
      <w:b/>
      <w:bCs/>
      <w:color w:val="00000A"/>
      <w:sz w:val="28"/>
      <w:szCs w:val="28"/>
      <w:lang w:eastAsia="zh-CN"/>
    </w:rPr>
  </w:style>
  <w:style w:type="character" w:styleId="Heading5Char">
    <w:name w:val="Heading 5 Char"/>
    <w:basedOn w:val="DefaultParagraphFont"/>
    <w:qFormat/>
    <w:rPr>
      <w:rFonts w:ascii="Calibri" w:hAnsi="Calibri" w:eastAsia="Lucida Sans Unicode" w:cs="Mangal"/>
      <w:b/>
      <w:bCs/>
      <w:i/>
      <w:iCs/>
      <w:color w:val="00000A"/>
      <w:sz w:val="26"/>
      <w:szCs w:val="26"/>
      <w:lang w:eastAsia="zh-CN"/>
    </w:rPr>
  </w:style>
  <w:style w:type="character" w:styleId="Heading6Char">
    <w:name w:val="Heading 6 Char"/>
    <w:basedOn w:val="DefaultParagraphFont"/>
    <w:qFormat/>
    <w:rPr>
      <w:rFonts w:ascii="Calibri" w:hAnsi="Calibri" w:eastAsia="Lucida Sans Unicode" w:cs="Mangal"/>
      <w:b/>
      <w:bCs/>
      <w:color w:val="00000A"/>
      <w:lang w:eastAsia="zh-CN"/>
    </w:rPr>
  </w:style>
  <w:style w:type="character" w:styleId="Heading7Char">
    <w:name w:val="Heading 7 Char"/>
    <w:basedOn w:val="DefaultParagraphFont"/>
    <w:qFormat/>
    <w:rPr>
      <w:rFonts w:ascii="Calibri" w:hAnsi="Calibri" w:eastAsia="Lucida Sans Unicode" w:cs="Mangal"/>
      <w:color w:val="00000A"/>
      <w:sz w:val="24"/>
      <w:szCs w:val="24"/>
      <w:lang w:eastAsia="zh-CN"/>
    </w:rPr>
  </w:style>
  <w:style w:type="character" w:styleId="Heading8Char">
    <w:name w:val="Heading 8 Char"/>
    <w:basedOn w:val="DefaultParagraphFont"/>
    <w:qFormat/>
    <w:rPr>
      <w:rFonts w:ascii="Calibri" w:hAnsi="Calibri" w:eastAsia="Lucida Sans Unicode" w:cs="Mangal"/>
      <w:i/>
      <w:iCs/>
      <w:color w:val="00000A"/>
      <w:sz w:val="24"/>
      <w:szCs w:val="24"/>
      <w:lang w:eastAsia="zh-CN"/>
    </w:rPr>
  </w:style>
  <w:style w:type="character" w:styleId="Heading9Char">
    <w:name w:val="Heading 9 Char"/>
    <w:basedOn w:val="DefaultParagraphFont"/>
    <w:qFormat/>
    <w:rPr>
      <w:rFonts w:ascii="Cambria" w:hAnsi="Cambria" w:eastAsia="Lucida Sans Unicode" w:cs="Mangal"/>
      <w:color w:val="00000A"/>
      <w:lang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ий шрифт абзацу"/>
    <w:qFormat/>
    <w:rPr/>
  </w:style>
  <w:style w:type="character" w:styleId="BodyTextChar">
    <w:name w:val="Body Tex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>
    <w:name w:val="Title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>
    <w:name w:val="Subtitle Char"/>
    <w:basedOn w:val="DefaultParagraphFont"/>
    <w:qFormat/>
    <w:rPr>
      <w:rFonts w:ascii="Cambria" w:hAnsi="Cambria" w:eastAsia="Lucida Sans Unicode" w:cs="Mangal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-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qFormat/>
    <w:rPr>
      <w:rFonts w:ascii="Times New Roman" w:hAnsi="Times New Roman" w:eastAsia="Times New Roman" w:cs="Times New Roman"/>
      <w:color w:val="000000"/>
      <w:sz w:val="24"/>
      <w:szCs w:val="26"/>
      <w:lang w:eastAsia="ar-SA"/>
    </w:rPr>
  </w:style>
  <w:style w:type="paragraph" w:styleId="Style7">
    <w:name w:val="Заголовок"/>
    <w:basedOn w:val="Normal"/>
    <w:next w:val="BodyText1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1">
    <w:name w:val="Body Text"/>
    <w:basedOn w:val="Normal"/>
    <w:link w:val="BodyTextChar"/>
    <w:pPr>
      <w:spacing w:lineRule="atLeast" w:line="240"/>
    </w:pPr>
    <w:rPr>
      <w:sz w:val="28"/>
    </w:rPr>
  </w:style>
  <w:style w:type="paragraph" w:styleId="List">
    <w:name w:val="List"/>
    <w:basedOn w:val="BodyText1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8">
    <w:name w:val="Покажчик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itle">
    <w:name w:val="Title"/>
    <w:basedOn w:val="Style7"/>
    <w:link w:val="TitleChar"/>
    <w:qFormat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qFormat/>
    <w:pPr>
      <w:ind w:hanging="200" w:left="200" w:right="0"/>
    </w:pPr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2">
    <w:name w:val="Основний текст з відступом 2"/>
    <w:basedOn w:val="Normal"/>
    <w:qFormat/>
    <w:pPr>
      <w:spacing w:lineRule="atLeast" w:line="240"/>
      <w:ind w:firstLine="720" w:left="0" w:right="0"/>
    </w:pPr>
    <w:rPr>
      <w:sz w:val="28"/>
    </w:rPr>
  </w:style>
  <w:style w:type="paragraph" w:styleId="BodyTextIndent">
    <w:name w:val="Body Text Indent"/>
    <w:basedOn w:val="Normal"/>
    <w:link w:val="BodyTextIndentChar"/>
    <w:pPr>
      <w:ind w:hanging="0" w:left="720" w:right="0"/>
    </w:pPr>
    <w:rPr>
      <w:sz w:val="28"/>
    </w:rPr>
  </w:style>
  <w:style w:type="paragraph" w:styleId="Style9">
    <w:name w:val="Назва об'єкта"/>
    <w:basedOn w:val="Normal"/>
    <w:next w:val="Normal"/>
    <w:qFormat/>
    <w:pPr>
      <w:jc w:val="center"/>
    </w:pPr>
    <w:rPr>
      <w:color w:val="000000"/>
      <w:sz w:val="40"/>
    </w:rPr>
  </w:style>
  <w:style w:type="paragraph" w:styleId="21">
    <w:name w:val="Основний текст 2"/>
    <w:basedOn w:val="Normal"/>
    <w:qFormat/>
    <w:pPr>
      <w:spacing w:lineRule="atLeast" w:line="240"/>
      <w:jc w:val="both"/>
    </w:pPr>
    <w:rPr>
      <w:sz w:val="28"/>
    </w:rPr>
  </w:style>
  <w:style w:type="paragraph" w:styleId="Style10">
    <w:name w:val="Содержимое таблицы"/>
    <w:basedOn w:val="Normal"/>
    <w:qFormat/>
    <w:pPr>
      <w:suppressLineNumbers/>
    </w:pPr>
    <w:rPr/>
  </w:style>
  <w:style w:type="paragraph" w:styleId="Style11">
    <w:name w:val="Заголовок таблицы"/>
    <w:basedOn w:val="Style10"/>
    <w:qFormat/>
    <w:pPr>
      <w:jc w:val="center"/>
    </w:pPr>
    <w:rPr>
      <w:b/>
      <w:bCs/>
    </w:rPr>
  </w:style>
  <w:style w:type="paragraph" w:styleId="10">
    <w:name w:val="Заголовок 10"/>
    <w:basedOn w:val="Style7"/>
    <w:qFormat/>
    <w:pPr/>
    <w:rPr>
      <w:b/>
      <w:bCs/>
      <w:sz w:val="21"/>
      <w:szCs w:val="21"/>
    </w:rPr>
  </w:style>
  <w:style w:type="paragraph" w:styleId="Style12">
    <w:name w:val="Вміст таблиці"/>
    <w:basedOn w:val="Normal"/>
    <w:qFormat/>
    <w:pPr>
      <w:suppressLineNumbers/>
    </w:pPr>
    <w:rPr/>
  </w:style>
  <w:style w:type="paragraph" w:styleId="Style13">
    <w:name w:val="Заголовок таблиці"/>
    <w:basedOn w:val="Style12"/>
    <w:qFormat/>
    <w:pPr>
      <w:jc w:val="center"/>
    </w:pPr>
    <w:rPr>
      <w:b/>
      <w:bCs/>
    </w:rPr>
  </w:style>
  <w:style w:type="paragraph" w:styleId="Style14">
    <w:name w:val="Цитати"/>
    <w:basedOn w:val="Normal"/>
    <w:qFormat/>
    <w:pPr>
      <w:spacing w:before="0" w:after="283"/>
      <w:ind w:hanging="0" w:left="567" w:right="567"/>
    </w:pPr>
    <w:rPr/>
  </w:style>
  <w:style w:type="paragraph" w:styleId="Subtitle">
    <w:name w:val="Subtitle"/>
    <w:basedOn w:val="Style7"/>
    <w:link w:val="SubtitleChar"/>
    <w:qFormat/>
    <w:pPr>
      <w:spacing w:before="60" w:after="120"/>
      <w:jc w:val="center"/>
    </w:pPr>
    <w:rPr>
      <w:sz w:val="36"/>
      <w:szCs w:val="36"/>
    </w:rPr>
  </w:style>
  <w:style w:type="paragraph" w:styleId="Style15">
    <w:name w:val="Заглавие"/>
    <w:basedOn w:val="Normal"/>
    <w:qFormat/>
    <w:pPr>
      <w:jc w:val="center"/>
    </w:pPr>
    <w:rPr>
      <w:sz w:val="28"/>
    </w:rPr>
  </w:style>
  <w:style w:type="paragraph" w:styleId="Style16">
    <w:name w:val="Текст у вказаному форматі"/>
    <w:basedOn w:val="Normal"/>
    <w:qFormat/>
    <w:pPr/>
    <w:rPr>
      <w:rFonts w:ascii="Liberation Mono" w:hAnsi="Liberation Mono" w:eastAsia="NSimSun" w:cs="Liberation Mono"/>
    </w:rPr>
  </w:style>
  <w:style w:type="paragraph" w:styleId="Style17">
    <w:name w:val="Нормальний текст"/>
    <w:basedOn w:val="Normal"/>
    <w:qFormat/>
    <w:pPr>
      <w:spacing w:before="120" w:after="0"/>
      <w:ind w:firstLine="567" w:left="0" w:right="0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18">
    <w:name w:val="Обычный (веб)"/>
    <w:basedOn w:val="Normal"/>
    <w:qFormat/>
    <w:pPr>
      <w:suppressAutoHyphens w:val="true"/>
    </w:pPr>
    <w:rPr/>
  </w:style>
  <w:style w:type="paragraph" w:styleId="Style19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firstLine="559" w:left="120" w:right="0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2">
    <w:name w:val="Основний текст (2)"/>
    <w:qFormat/>
    <w:pPr>
      <w:widowControl/>
      <w:shd w:val="clear" w:fill="FFFFFF"/>
      <w:suppressAutoHyphens w:val="true"/>
      <w:overflowPunct w:val="tru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0">
    <w:name w:val="Указатель"/>
    <w:basedOn w:val="Normal"/>
    <w:qFormat/>
    <w:pPr/>
    <w:rPr>
      <w:rFonts w:cs="Mangal"/>
    </w:rPr>
  </w:style>
  <w:style w:type="paragraph" w:styleId="Style21">
    <w:name w:val="Верхній і нижній колонтитули"/>
    <w:basedOn w:val="Normal"/>
    <w:qFormat/>
    <w:pPr/>
    <w:rPr/>
  </w:style>
  <w:style w:type="paragraph" w:styleId="Header">
    <w:name w:val="Header"/>
    <w:basedOn w:val="Style21"/>
    <w:pPr>
      <w:suppressLineNumbers/>
    </w:pPr>
    <w:rPr/>
  </w:style>
  <w:style w:type="paragraph" w:styleId="Style22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">
    <w:name w:val="Знак Знак1 Знак Знак Знак Знак Знак Знак Знак"/>
    <w:basedOn w:val="Normal"/>
    <w:next w:val="Style23"/>
    <w:qFormat/>
    <w:pPr/>
    <w:rPr>
      <w:rFonts w:ascii="Verdana" w:hAnsi="Verdana" w:cs="Verdana"/>
      <w:sz w:val="20"/>
      <w:szCs w:val="20"/>
      <w:lang w:val="en-US"/>
    </w:rPr>
  </w:style>
  <w:style w:type="paragraph" w:styleId="3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23">
    <w:name w:val="Вміст рамки"/>
    <w:basedOn w:val="Normal"/>
    <w:qFormat/>
    <w:pPr/>
    <w:rPr/>
  </w:style>
  <w:style w:type="paragraph" w:styleId="31">
    <w:name w:val="Основной текст с отступом 31"/>
    <w:basedOn w:val="Normal"/>
    <w:qFormat/>
    <w:pPr>
      <w:ind w:hanging="284" w:left="284"/>
      <w:jc w:val="both"/>
    </w:pPr>
    <w:rPr>
      <w:sz w:val="28"/>
    </w:rPr>
  </w:style>
  <w:style w:type="paragraph" w:styleId="32">
    <w:name w:val="Основной текст с отступом 3"/>
    <w:basedOn w:val="Normal"/>
    <w:qFormat/>
    <w:pPr>
      <w:spacing w:lineRule="auto" w:line="252"/>
      <w:ind w:firstLine="709"/>
      <w:jc w:val="both"/>
    </w:pPr>
    <w:rPr>
      <w:sz w:val="28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0" w:leader="none"/>
        <w:tab w:val="right" w:pos="9868" w:leader="none"/>
      </w:tabs>
      <w:ind w:firstLine="709" w:right="14"/>
      <w:jc w:val="both"/>
    </w:pPr>
    <w:rPr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1850</TotalTime>
  <Application>LibreOffice/7.6.6.3$Windows_X86_64 LibreOffice_project/d97b2716a9a4a2ce1391dee1765565ea469b0ae7</Application>
  <AppVersion>15.0000</AppVersion>
  <Pages>4</Pages>
  <Words>779</Words>
  <Characters>5381</Characters>
  <CharactersWithSpaces>6193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cp:lastPrinted>2025-11-20T15:33:34Z</cp:lastPrinted>
  <dcterms:modified xsi:type="dcterms:W3CDTF">2025-11-20T16:43:50Z</dcterms:modified>
  <cp:revision>286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