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ЗАТВЕРДЖЕНО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 xml:space="preserve">Наказ Головного управління 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Пенсійного фонду України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 Волинській області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17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___________№___________</w:t>
      </w:r>
    </w:p>
    <w:p>
      <w:pPr>
        <w:pStyle w:val="Normal"/>
        <w:widowControl/>
        <w:suppressAutoHyphens w:val="false"/>
        <w:bidi w:val="0"/>
        <w:snapToGrid w:val="false"/>
        <w:spacing w:before="0" w:after="170"/>
        <w:ind w:hanging="0" w:left="5556" w:right="0"/>
        <w:jc w:val="left"/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УМОВИ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 xml:space="preserve">проведення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добору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>на зайняття вакантної посади</w:t>
      </w: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 xml:space="preserve"> провідного інспектора 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>відділу</w:t>
      </w:r>
      <w:r>
        <w:rPr>
          <w:sz w:val="26"/>
          <w:szCs w:val="26"/>
        </w:rPr>
        <w:t xml:space="preserve"> матеріально-технічного забезпечення 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>Управління господарського обслуговування та матеріально-технічного забезпечення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(м. Луцьк</w:t>
      </w: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 xml:space="preserve">,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6"/>
          <w:szCs w:val="26"/>
          <w:lang w:val="uk-UA" w:eastAsia="uk-UA"/>
        </w:rPr>
        <w:t>Київський майдан, буд. 6</w:t>
      </w:r>
      <w:r>
        <w:rPr>
          <w:b w:val="false"/>
          <w:bCs w:val="false"/>
          <w:color w:val="000000"/>
          <w:sz w:val="26"/>
          <w:szCs w:val="26"/>
        </w:rPr>
        <w:t>)</w:t>
      </w:r>
    </w:p>
    <w:p>
      <w:pPr>
        <w:pStyle w:val="Normal"/>
        <w:suppressAutoHyphens w:val="false"/>
        <w:snapToGrid w:val="false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tbl>
      <w:tblPr>
        <w:tblW w:w="970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58"/>
        <w:gridCol w:w="2899"/>
        <w:gridCol w:w="6248"/>
      </w:tblGrid>
      <w:tr>
        <w:trPr/>
        <w:tc>
          <w:tcPr>
            <w:tcW w:w="97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Посадові обов'язки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</w:tabs>
              <w:ind w:firstLine="283" w:left="0" w:right="0"/>
              <w:jc w:val="both"/>
              <w:rPr/>
            </w:pPr>
            <w:r>
              <w:rPr>
                <w:rStyle w:val="Style6"/>
                <w:sz w:val="26"/>
                <w:szCs w:val="26"/>
                <w:lang w:eastAsia="ru-RU"/>
              </w:rPr>
              <w:t>1) Здійснення матеріально-технічного забезпечення, підтримання належного внутрішнього порядку в приміщеннях Головного управління, здійснення обліку та збереження матеріальних цінностей;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firstLine="283" w:left="0" w:right="0"/>
              <w:jc w:val="both"/>
              <w:rPr/>
            </w:pPr>
            <w:r>
              <w:rPr>
                <w:rStyle w:val="Style6"/>
                <w:sz w:val="26"/>
                <w:szCs w:val="26"/>
                <w:lang w:eastAsia="ru-RU"/>
              </w:rPr>
              <w:t>2) здійснення безперебійного функціонування систем життєзабезпечення, поточний ремонт і технічне обслуговування приміщень Головного управління;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firstLine="283" w:left="0" w:right="0"/>
              <w:jc w:val="both"/>
              <w:rPr/>
            </w:pPr>
            <w:r>
              <w:rPr>
                <w:rStyle w:val="Style6"/>
                <w:sz w:val="26"/>
                <w:szCs w:val="26"/>
                <w:lang w:eastAsia="ru-RU"/>
              </w:rPr>
              <w:t>3) ведення журналів обліку використання електроенергії та води;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firstLine="283" w:left="0" w:right="0"/>
              <w:jc w:val="both"/>
              <w:rPr/>
            </w:pPr>
            <w:r>
              <w:rPr>
                <w:rStyle w:val="Style6"/>
                <w:sz w:val="26"/>
                <w:szCs w:val="26"/>
                <w:lang w:eastAsia="ru-RU"/>
              </w:rPr>
              <w:t>4) забезпечення господарського обслуговування і належний стан приміщень Головного управління відповідно до правил і норм виробничої санітарії, пожежної безпеки будівель і приміщень;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firstLine="283" w:left="0" w:right="0"/>
              <w:jc w:val="both"/>
              <w:rPr/>
            </w:pPr>
            <w:r>
              <w:rPr>
                <w:rStyle w:val="Style6"/>
                <w:sz w:val="26"/>
                <w:szCs w:val="26"/>
                <w:lang w:eastAsia="ru-RU"/>
              </w:rPr>
              <w:t>5) організація оформлення і отримання необхідних господарчих матеріалів, обладнання, а також ведення обліку їх витрачання і складання встановленої звітності.</w:t>
            </w:r>
          </w:p>
        </w:tc>
      </w:tr>
      <w:tr>
        <w:trPr>
          <w:trHeight w:val="1312" w:hRule="atLeast"/>
        </w:trPr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Умови оплати праці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  <w:lang w:val="uk-UA"/>
              </w:rPr>
              <w:t>П</w:t>
            </w:r>
            <w:r>
              <w:rPr>
                <w:sz w:val="26"/>
                <w:szCs w:val="26"/>
              </w:rPr>
              <w:t>осадовий оклад — 7207,00</w:t>
            </w:r>
            <w:r>
              <w:rPr>
                <w:sz w:val="26"/>
                <w:szCs w:val="26"/>
                <w:lang w:val="uk-UA" w:eastAsia="zh-CN" w:bidi="ar-SA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113" w:right="113"/>
              <w:jc w:val="both"/>
              <w:rPr/>
            </w:pPr>
            <w:r>
              <w:rPr>
                <w:color w:val="000000"/>
                <w:sz w:val="26"/>
                <w:szCs w:val="26"/>
                <w:lang w:val="uk-UA" w:eastAsia="zh-CN" w:bidi="ar-SA"/>
              </w:rPr>
              <w:t xml:space="preserve">надбавка за вислугу років, премія та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uk-UA" w:eastAsia="zh-CN" w:bidi="ar-SA"/>
              </w:rPr>
              <w:t>матеріальна допомога на оздоровлення</w:t>
            </w:r>
            <w:r>
              <w:rPr>
                <w:color w:val="000000"/>
                <w:sz w:val="26"/>
                <w:szCs w:val="26"/>
                <w:lang w:val="uk-UA" w:eastAsia="zh-CN" w:bidi="ar-SA"/>
              </w:rPr>
              <w:t xml:space="preserve"> відповідно до чинного законодавства;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uk-UA" w:eastAsia="zh-CN" w:bidi="ar-SA"/>
              </w:rPr>
              <w:t>надбавка до посадового окладу відповідно до постанови Кабінету Міністрів України від 18 січня 2019 року № 1112 “Про умови оплати праці працівників державних органів, на яких не поширюється дія Закону України "Про державну службу</w:t>
            </w:r>
            <w:bookmarkStart w:id="0" w:name="Про_умови_оплати_праці_працівників_держа"/>
            <w:r>
              <w:rPr>
                <w:color w:val="000000"/>
                <w:sz w:val="26"/>
                <w:szCs w:val="26"/>
                <w:lang w:val="uk-UA" w:eastAsia="zh-CN" w:bidi="ar-SA"/>
              </w:rPr>
              <w:t>”</w:t>
            </w:r>
            <w:bookmarkEnd w:id="0"/>
            <w:r>
              <w:rPr>
                <w:color w:val="000000"/>
                <w:sz w:val="26"/>
                <w:szCs w:val="26"/>
                <w:lang w:val="uk-UA" w:eastAsia="zh-CN" w:bidi="ar-SA"/>
              </w:rPr>
              <w:t>.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b w:val="false"/>
                <w:bCs w:val="false"/>
                <w:sz w:val="26"/>
                <w:szCs w:val="26"/>
              </w:rPr>
              <w:t>Призначення на посаду безстрокове.</w:t>
            </w:r>
          </w:p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b w:val="false"/>
                <w:bCs w:val="false"/>
                <w:sz w:val="26"/>
                <w:szCs w:val="26"/>
                <w:lang w:val="uk-UA" w:eastAsia="zh-CN" w:bidi="ar-SA"/>
              </w:rPr>
            </w:pPr>
            <w:r>
              <w:rPr>
                <w:b w:val="false"/>
                <w:bCs w:val="false"/>
                <w:sz w:val="26"/>
                <w:szCs w:val="26"/>
                <w:lang w:val="uk-UA" w:eastAsia="zh-CN" w:bidi="ar-SA"/>
              </w:rPr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hanging="57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Перелік інформації необхідної для участі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у доборі</w:t>
            </w:r>
            <w:r>
              <w:rPr>
                <w:sz w:val="26"/>
                <w:szCs w:val="26"/>
              </w:rPr>
              <w:t>, та строк її подання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7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Особа, яка бажає взяти участь у доборі, подає Управлінню по роботі з персоналом: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shd w:fill="FFFFFF" w:val="clear"/>
                <w:lang w:val="uk-UA" w:eastAsia="zh-CN" w:bidi="ar-SA"/>
              </w:rPr>
              <w:t>резюме;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документ, що посвідчує особу та підтверджує  громадянство України;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реєстраційний номер облікової картки платника податків;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документ про освіту;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eastAsia="Times New Roman" w:cs="Times New Roman"/>
                <w:b w:val="false"/>
                <w:bCs/>
                <w:color w:val="000000"/>
                <w:kern w:val="0"/>
                <w:sz w:val="26"/>
                <w:szCs w:val="26"/>
                <w:shd w:fill="FFFFFF" w:val="clear"/>
                <w:lang w:val="uk-UA" w:eastAsia="zh-CN" w:bidi="ar-SA"/>
              </w:rPr>
              <w:t>документи, що підтверджують досвід роботи згідно з вимогами законодавства, встановленими щодо відповідних посад.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  <w:lang w:val="uk-UA" w:eastAsia="zh-CN" w:bidi="ar-SA"/>
              </w:rPr>
              <w:t>Документи</w:t>
            </w:r>
            <w:r>
              <w:rPr>
                <w:sz w:val="26"/>
                <w:szCs w:val="26"/>
              </w:rPr>
              <w:t xml:space="preserve"> прийма</w:t>
            </w:r>
            <w:r>
              <w:rPr>
                <w:sz w:val="26"/>
                <w:szCs w:val="26"/>
                <w:lang w:val="uk-UA" w:eastAsia="zh-CN" w:bidi="ar-SA"/>
              </w:rPr>
              <w:t>ю</w:t>
            </w:r>
            <w:r>
              <w:rPr>
                <w:sz w:val="26"/>
                <w:szCs w:val="26"/>
              </w:rPr>
              <w:t xml:space="preserve">ться до </w:t>
            </w:r>
            <w:r>
              <w:rPr>
                <w:sz w:val="26"/>
                <w:szCs w:val="26"/>
                <w:lang w:val="en-US"/>
              </w:rPr>
              <w:t>17</w:t>
            </w:r>
            <w:r>
              <w:rPr>
                <w:sz w:val="26"/>
                <w:szCs w:val="26"/>
              </w:rPr>
              <w:t>:00 години 03 грудня 2025  року включно.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Співбесіда </w:t>
            </w:r>
            <w:r>
              <w:rPr>
                <w:sz w:val="26"/>
                <w:szCs w:val="26"/>
                <w:lang w:val="uk-UA" w:eastAsia="zh-CN" w:bidi="ar-SA"/>
              </w:rPr>
              <w:t xml:space="preserve"> </w:t>
            </w:r>
            <w:r>
              <w:rPr>
                <w:sz w:val="26"/>
                <w:szCs w:val="26"/>
              </w:rPr>
              <w:t>відбудеться 04 грудня</w:t>
            </w:r>
            <w:r>
              <w:rPr>
                <w:sz w:val="26"/>
                <w:szCs w:val="26"/>
                <w:lang w:val="uk-UA" w:eastAsia="zh-CN" w:bidi="ar-SA"/>
              </w:rPr>
              <w:t xml:space="preserve"> 2025</w:t>
            </w:r>
            <w:r>
              <w:rPr>
                <w:sz w:val="26"/>
                <w:szCs w:val="26"/>
              </w:rPr>
              <w:t xml:space="preserve"> року, за адресою </w:t>
            </w:r>
            <w:r>
              <w:rPr>
                <w:sz w:val="26"/>
                <w:szCs w:val="26"/>
                <w:lang w:val="uk-UA" w:eastAsia="zh-CN" w:bidi="ar-SA"/>
              </w:rPr>
              <w:t>м. Луцьк, Київський майдан, 6 (проведення співбесіди за фізичної присутності кандидатів).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Прізвище, ім'я та по батькові, номер телефону та адреса електронної пошти особи, яка надає додаткову інформацію з питань проведення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добору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Левчук Володимир Михайлович,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Козицька Галина Стефанівна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bidi w:val="0"/>
              <w:jc w:val="both"/>
              <w:rPr/>
            </w:pPr>
            <w:r>
              <w:rPr>
                <w:sz w:val="26"/>
                <w:szCs w:val="26"/>
                <w:lang w:val="uk-UA" w:eastAsia="zh-CN" w:bidi="ar-SA"/>
              </w:rPr>
              <w:t>28-10-62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  <w:lang w:val="en-US" w:eastAsia="zh-CN" w:bidi="ar-SA"/>
              </w:rPr>
              <w:t xml:space="preserve">E-mail: </w:t>
            </w:r>
            <w:hyperlink r:id="rId2">
              <w:r>
                <w:rPr>
                  <w:rStyle w:val="Hyperlink"/>
                  <w:sz w:val="26"/>
                  <w:szCs w:val="26"/>
                  <w:lang w:val="en-US"/>
                </w:rPr>
                <w:t>personal@vl.pfu.gov.ua</w:t>
              </w:r>
            </w:hyperlink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Style12"/>
              <w:widowControl w:val="false"/>
              <w:jc w:val="both"/>
              <w:rPr>
                <w:rFonts w:ascii="Times New Roman" w:hAnsi="Times New Roman"/>
                <w:b w:val="false"/>
                <w:bCs w:val="false"/>
                <w:sz w:val="26"/>
                <w:szCs w:val="26"/>
              </w:rPr>
            </w:pPr>
            <w:r>
              <w:rPr>
                <w:b w:val="false"/>
                <w:bCs w:val="false"/>
                <w:sz w:val="26"/>
                <w:szCs w:val="26"/>
              </w:rPr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</w:rPr>
              <w:t>Обов’язковою вимогою до осіб, які претендують на посаду є наявність громадянства України та відсутність громадянства інших держав.</w:t>
            </w:r>
          </w:p>
        </w:tc>
      </w:tr>
      <w:tr>
        <w:trPr>
          <w:trHeight w:val="794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Web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lineRule="auto" w:line="240" w:before="0" w:after="0"/>
              <w:ind w:firstLine="624" w:left="57" w:right="57"/>
              <w:jc w:val="both"/>
              <w:rPr/>
            </w:pPr>
            <w:r>
              <w:rPr>
                <w:rStyle w:val="CharStyle7"/>
                <w:rFonts w:eastAsia="Times New Roman"/>
                <w:b w:val="false"/>
                <w:bCs w:val="false"/>
                <w:i w:val="false"/>
                <w:iCs w:val="false"/>
                <w:strike w:val="false"/>
                <w:dstrike w:val="false"/>
                <w:spacing w:val="0"/>
                <w:w w:val="100"/>
                <w:sz w:val="26"/>
                <w:szCs w:val="26"/>
                <w:u w:val="none"/>
                <w:lang w:val="uk-UA" w:eastAsia="uk-UA" w:bidi="uk-UA"/>
              </w:rPr>
              <w:t>Базова або вища освіта.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AutoHyphens w:val="true"/>
              <w:overflowPunct w:val="true"/>
              <w:bidi w:val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 xml:space="preserve">Без </w:t>
            </w:r>
            <w:r>
              <w:rPr>
                <w:sz w:val="26"/>
                <w:szCs w:val="26"/>
                <w:lang w:val="uk-UA" w:eastAsia="zh-CN" w:bidi="ar-SA"/>
              </w:rPr>
              <w:t>вимог до досвіду роботи.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Rvps14"/>
              <w:widowControl w:val="false"/>
              <w:suppressAutoHyphens w:val="true"/>
              <w:overflowPunct w:val="true"/>
              <w:bidi w:val="0"/>
              <w:spacing w:before="100" w:after="10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Вільне володіння державною мовою.</w:t>
            </w:r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/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lef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Досягнення результатів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Відповідальність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брати на себе зобов'язання, чітко їх дотримуватись і виконувати.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Цифрова грамотність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використовувати комп'ютерні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уникати небезпек в цифровому середовищі, захищати особисті та конфіденційні дані;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/>
            </w:pPr>
            <w:r>
              <w:rPr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624" w:left="-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Конституції України від 28 червня 1996 року;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567" w:left="0" w:right="5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Закону України від  14 жовтня 2014 року № 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 xml:space="preserve">1700-VII </w:t>
            </w:r>
            <w:r>
              <w:rPr>
                <w:rFonts w:eastAsia="Times New Roman" w:cs="Times New Roman"/>
                <w:sz w:val="26"/>
                <w:szCs w:val="26"/>
              </w:rPr>
              <w:t>“Про запобігання корупції”;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Закону  України  від  13 січня 2011 року   № 2939-</w:t>
            </w:r>
            <w:r>
              <w:rPr>
                <w:rFonts w:eastAsia="Times New Roman" w:cs="Times New Roman"/>
                <w:sz w:val="26"/>
                <w:szCs w:val="26"/>
                <w:lang w:val="en-US"/>
              </w:rPr>
              <w:t xml:space="preserve">VI </w:t>
            </w:r>
            <w:r>
              <w:rPr>
                <w:rFonts w:eastAsia="Times New Roman" w:cs="Times New Roman"/>
                <w:sz w:val="26"/>
                <w:szCs w:val="26"/>
              </w:rPr>
              <w:t>“П</w:t>
            </w:r>
            <w:r>
              <w:rPr>
                <w:sz w:val="26"/>
                <w:szCs w:val="26"/>
              </w:rPr>
              <w:t>ро доступ до публічної інформації”;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624" w:left="0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Закону України від 01 червня 2010 року  № 2297-</w:t>
            </w:r>
            <w:r>
              <w:rPr>
                <w:sz w:val="26"/>
                <w:szCs w:val="26"/>
                <w:lang w:val="en-US"/>
              </w:rPr>
              <w:t xml:space="preserve">VI </w:t>
            </w:r>
            <w:r>
              <w:rPr>
                <w:sz w:val="26"/>
                <w:szCs w:val="26"/>
              </w:rPr>
              <w:t>“Про захист персональних даних”</w:t>
            </w:r>
            <w:r>
              <w:rPr>
                <w:sz w:val="26"/>
                <w:szCs w:val="26"/>
                <w:lang w:val="en-US"/>
              </w:rPr>
              <w:t>.</w:t>
            </w:r>
          </w:p>
        </w:tc>
      </w:tr>
      <w:tr>
        <w:trPr>
          <w:trHeight w:val="934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624" w:left="-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Закону України </w:t>
            </w:r>
            <w:r>
              <w:rPr>
                <w:sz w:val="26"/>
                <w:szCs w:val="26"/>
                <w:lang w:val="uk-UA"/>
              </w:rPr>
              <w:t xml:space="preserve">від 14 жовтня 1992 року  № 2694-ХІІ </w:t>
            </w:r>
            <w:r>
              <w:rPr>
                <w:sz w:val="26"/>
                <w:szCs w:val="26"/>
              </w:rPr>
              <w:t>“Про охорону праці</w:t>
            </w:r>
            <w:r>
              <w:rPr>
                <w:sz w:val="26"/>
                <w:szCs w:val="26"/>
                <w:lang w:val="en-US"/>
              </w:rPr>
              <w:t>”</w:t>
            </w:r>
            <w:r>
              <w:rPr>
                <w:sz w:val="26"/>
                <w:szCs w:val="26"/>
                <w:lang w:val="uk-UA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624" w:left="-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/>
              </w:rPr>
              <w:t>Закону України від 05 листопада 2009 року № 1704-</w:t>
            </w:r>
            <w:r>
              <w:rPr>
                <w:sz w:val="26"/>
                <w:szCs w:val="26"/>
                <w:lang w:val="en-US"/>
              </w:rPr>
              <w:t>V</w:t>
            </w:r>
            <w:r>
              <w:rPr>
                <w:sz w:val="26"/>
                <w:szCs w:val="26"/>
                <w:lang w:val="uk-UA"/>
              </w:rPr>
              <w:t>І “Про будівельні норми</w:t>
            </w:r>
            <w:r>
              <w:rPr>
                <w:sz w:val="26"/>
                <w:szCs w:val="26"/>
                <w:lang w:val="en-US"/>
              </w:rPr>
              <w:t>”</w:t>
            </w:r>
            <w:r>
              <w:rPr>
                <w:sz w:val="26"/>
                <w:szCs w:val="26"/>
                <w:lang w:val="uk-UA"/>
              </w:rPr>
              <w:t>;</w:t>
            </w:r>
          </w:p>
          <w:p>
            <w:pPr>
              <w:pStyle w:val="Normal"/>
              <w:widowControl w:val="false"/>
              <w:ind w:firstLine="567" w:left="0" w:right="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п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останови Кабінету Міністрів України від 08 листопада 2007 року № 1314 “Про затвердження Порядку списання об’єктів державної власності”.</w:t>
            </w:r>
          </w:p>
        </w:tc>
      </w:tr>
    </w:tbl>
    <w:p>
      <w:pPr>
        <w:pStyle w:val="Normal"/>
        <w:suppressAutoHyphens w:val="false"/>
        <w:snapToGrid w:val="false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false"/>
        <w:snapToGrid w:val="false"/>
        <w:jc w:val="center"/>
        <w:rPr/>
      </w:pPr>
      <w:r>
        <w:rPr>
          <w:sz w:val="26"/>
          <w:szCs w:val="26"/>
        </w:rPr>
        <w:t>__________________________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1701" w:right="567" w:gutter="0" w:header="1134" w:top="1648" w:footer="0" w:bottom="1134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Ari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t xml:space="preserve">                                                                                  </w:t>
    </w:r>
    <w:r>
      <w:rPr>
        <w:sz w:val="26"/>
        <w:szCs w:val="26"/>
      </w:rPr>
      <w:t xml:space="preserve"> </w:t>
    </w:r>
    <w:r>
      <w:rPr>
        <w:sz w:val="26"/>
        <w:szCs w:val="26"/>
      </w:rPr>
      <w:fldChar w:fldCharType="begin"/>
    </w:r>
    <w:r>
      <w:rPr>
        <w:sz w:val="26"/>
        <w:szCs w:val="26"/>
      </w:rPr>
      <w:instrText xml:space="preserve"> PAGE </w:instrText>
    </w:r>
    <w:r>
      <w:rPr>
        <w:sz w:val="26"/>
        <w:szCs w:val="26"/>
      </w:rPr>
      <w:fldChar w:fldCharType="separate"/>
    </w:r>
    <w:r>
      <w:rPr>
        <w:sz w:val="26"/>
        <w:szCs w:val="26"/>
      </w:rPr>
      <w:t>3</w:t>
    </w:r>
    <w:r>
      <w:rPr>
        <w:sz w:val="26"/>
        <w:szCs w:val="26"/>
      </w:rPr>
      <w:fldChar w:fldCharType="end"/>
    </w:r>
    <w:r>
      <w:rPr>
        <w:sz w:val="26"/>
        <w:szCs w:val="26"/>
      </w:rPr>
      <w:t xml:space="preserve">                                        </w:t>
    </w:r>
    <w:r>
      <w:rPr>
        <w:sz w:val="26"/>
        <w:szCs w:val="26"/>
      </w:rPr>
      <w:t>Продовження додатка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 w:val="true"/>
      <w:jc w:val="center"/>
      <w:outlineLvl w:val="1"/>
    </w:pPr>
    <w:rPr>
      <w:b/>
      <w:sz w:val="32"/>
      <w:lang w:val="ru-RU"/>
    </w:rPr>
  </w:style>
  <w:style w:type="paragraph" w:styleId="Heading3">
    <w:name w:val="Heading 3"/>
    <w:basedOn w:val="Normal"/>
    <w:next w:val="Normal"/>
    <w:link w:val="Heading3Char"/>
    <w:qFormat/>
    <w:pPr>
      <w:keepNext w:val="true"/>
      <w:spacing w:lineRule="atLeast" w:line="240"/>
      <w:outlineLvl w:val="2"/>
    </w:pPr>
    <w:rPr>
      <w:sz w:val="28"/>
    </w:rPr>
  </w:style>
  <w:style w:type="paragraph" w:styleId="Heading4">
    <w:name w:val="Heading 4"/>
    <w:basedOn w:val="Normal"/>
    <w:next w:val="Normal"/>
    <w:link w:val="Heading4Char"/>
    <w:qFormat/>
    <w:pPr>
      <w:keepNext w:val="true"/>
      <w:spacing w:lineRule="atLeast" w:line="240"/>
      <w:ind w:hanging="0" w:left="0" w:right="3712"/>
      <w:outlineLvl w:val="3"/>
    </w:pPr>
    <w:rPr>
      <w:b/>
      <w:sz w:val="28"/>
    </w:rPr>
  </w:style>
  <w:style w:type="paragraph" w:styleId="Heading5">
    <w:name w:val="Heading 5"/>
    <w:basedOn w:val="Normal"/>
    <w:next w:val="Normal"/>
    <w:link w:val="Heading5Char"/>
    <w:qFormat/>
    <w:pPr>
      <w:keepNext w:val="true"/>
      <w:jc w:val="right"/>
      <w:outlineLvl w:val="4"/>
    </w:pPr>
    <w:rPr>
      <w:sz w:val="24"/>
      <w:lang w:val="en-US"/>
    </w:rPr>
  </w:style>
  <w:style w:type="paragraph" w:styleId="Heading6">
    <w:name w:val="Heading 6"/>
    <w:basedOn w:val="Style7"/>
    <w:link w:val="Heading6Char"/>
    <w:qFormat/>
    <w:pPr>
      <w:outlineLvl w:val="5"/>
    </w:pPr>
    <w:rPr>
      <w:b/>
      <w:bCs/>
      <w:sz w:val="21"/>
      <w:szCs w:val="21"/>
    </w:rPr>
  </w:style>
  <w:style w:type="paragraph" w:styleId="Heading7">
    <w:name w:val="Heading 7"/>
    <w:basedOn w:val="Style7"/>
    <w:link w:val="Heading7Char"/>
    <w:qFormat/>
    <w:pPr>
      <w:outlineLvl w:val="6"/>
    </w:pPr>
    <w:rPr>
      <w:b/>
      <w:bCs/>
      <w:sz w:val="21"/>
      <w:szCs w:val="21"/>
    </w:rPr>
  </w:style>
  <w:style w:type="paragraph" w:styleId="Heading8">
    <w:name w:val="Heading 8"/>
    <w:basedOn w:val="Style7"/>
    <w:link w:val="Heading8Char"/>
    <w:qFormat/>
    <w:pPr>
      <w:outlineLvl w:val="7"/>
    </w:pPr>
    <w:rPr>
      <w:b/>
      <w:bCs/>
      <w:sz w:val="21"/>
      <w:szCs w:val="21"/>
    </w:rPr>
  </w:style>
  <w:style w:type="paragraph" w:styleId="Heading9">
    <w:name w:val="Heading 9"/>
    <w:basedOn w:val="Style7"/>
    <w:link w:val="Heading9Char"/>
    <w:qFormat/>
    <w:pPr>
      <w:outlineLvl w:val="8"/>
    </w:pPr>
    <w:rPr>
      <w:b/>
      <w:bCs/>
      <w:sz w:val="21"/>
      <w:szCs w:val="21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Heading2Char">
    <w:name w:val="Heading 2 Char"/>
    <w:basedOn w:val="DefaultParagraphFont"/>
    <w:qFormat/>
    <w:rPr>
      <w:rFonts w:ascii="Cambria" w:hAnsi="Cambria" w:eastAsia="Lucida Sans Unicode" w:cs="Mangal"/>
      <w:b/>
      <w:bCs/>
      <w:i/>
      <w:iCs/>
      <w:color w:val="00000A"/>
      <w:sz w:val="28"/>
      <w:szCs w:val="28"/>
      <w:lang w:eastAsia="zh-CN"/>
    </w:rPr>
  </w:style>
  <w:style w:type="character" w:styleId="Heading3Char">
    <w:name w:val="Heading 3 Char"/>
    <w:basedOn w:val="DefaultParagraphFont"/>
    <w:qFormat/>
    <w:rPr>
      <w:rFonts w:ascii="Cambria" w:hAnsi="Cambria" w:eastAsia="Lucida Sans Unicode" w:cs="Mangal"/>
      <w:b/>
      <w:bCs/>
      <w:color w:val="00000A"/>
      <w:sz w:val="26"/>
      <w:szCs w:val="26"/>
      <w:lang w:eastAsia="zh-CN"/>
    </w:rPr>
  </w:style>
  <w:style w:type="character" w:styleId="Heading4Char">
    <w:name w:val="Heading 4 Char"/>
    <w:basedOn w:val="DefaultParagraphFont"/>
    <w:qFormat/>
    <w:rPr>
      <w:rFonts w:ascii="Calibri" w:hAnsi="Calibri" w:eastAsia="Lucida Sans Unicode" w:cs="Mangal"/>
      <w:b/>
      <w:bCs/>
      <w:color w:val="00000A"/>
      <w:sz w:val="28"/>
      <w:szCs w:val="28"/>
      <w:lang w:eastAsia="zh-CN"/>
    </w:rPr>
  </w:style>
  <w:style w:type="character" w:styleId="Heading5Char">
    <w:name w:val="Heading 5 Char"/>
    <w:basedOn w:val="DefaultParagraphFont"/>
    <w:qFormat/>
    <w:rPr>
      <w:rFonts w:ascii="Calibri" w:hAnsi="Calibri" w:eastAsia="Lucida Sans Unicode" w:cs="Mangal"/>
      <w:b/>
      <w:bCs/>
      <w:i/>
      <w:iCs/>
      <w:color w:val="00000A"/>
      <w:sz w:val="26"/>
      <w:szCs w:val="26"/>
      <w:lang w:eastAsia="zh-CN"/>
    </w:rPr>
  </w:style>
  <w:style w:type="character" w:styleId="Heading6Char">
    <w:name w:val="Heading 6 Char"/>
    <w:basedOn w:val="DefaultParagraphFont"/>
    <w:qFormat/>
    <w:rPr>
      <w:rFonts w:ascii="Calibri" w:hAnsi="Calibri" w:eastAsia="Lucida Sans Unicode" w:cs="Mangal"/>
      <w:b/>
      <w:bCs/>
      <w:color w:val="00000A"/>
      <w:lang w:eastAsia="zh-CN"/>
    </w:rPr>
  </w:style>
  <w:style w:type="character" w:styleId="Heading7Char">
    <w:name w:val="Heading 7 Char"/>
    <w:basedOn w:val="DefaultParagraphFont"/>
    <w:qFormat/>
    <w:rPr>
      <w:rFonts w:ascii="Calibri" w:hAnsi="Calibri" w:eastAsia="Lucida Sans Unicode" w:cs="Mangal"/>
      <w:color w:val="00000A"/>
      <w:sz w:val="24"/>
      <w:szCs w:val="24"/>
      <w:lang w:eastAsia="zh-CN"/>
    </w:rPr>
  </w:style>
  <w:style w:type="character" w:styleId="Heading8Char">
    <w:name w:val="Heading 8 Char"/>
    <w:basedOn w:val="DefaultParagraphFont"/>
    <w:qFormat/>
    <w:rPr>
      <w:rFonts w:ascii="Calibri" w:hAnsi="Calibri" w:eastAsia="Lucida Sans Unicode" w:cs="Mangal"/>
      <w:i/>
      <w:iCs/>
      <w:color w:val="00000A"/>
      <w:sz w:val="24"/>
      <w:szCs w:val="24"/>
      <w:lang w:eastAsia="zh-CN"/>
    </w:rPr>
  </w:style>
  <w:style w:type="character" w:styleId="Heading9Char">
    <w:name w:val="Heading 9 Char"/>
    <w:basedOn w:val="DefaultParagraphFont"/>
    <w:qFormat/>
    <w:rPr>
      <w:rFonts w:ascii="Cambria" w:hAnsi="Cambria" w:eastAsia="Lucida Sans Unicode" w:cs="Mangal"/>
      <w:color w:val="00000A"/>
      <w:lang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ий шрифт абзацу"/>
    <w:qFormat/>
    <w:rPr/>
  </w:style>
  <w:style w:type="character" w:styleId="BodyTextChar">
    <w:name w:val="Body Tex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>
    <w:name w:val="Title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>
    <w:name w:val="Subtitle Char"/>
    <w:basedOn w:val="DefaultParagraphFont"/>
    <w:qFormat/>
    <w:rPr>
      <w:rFonts w:ascii="Cambria" w:hAnsi="Cambria" w:eastAsia="Lucida Sans Unicode" w:cs="Mangal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-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qFormat/>
    <w:rPr>
      <w:rFonts w:ascii="Times New Roman" w:hAnsi="Times New Roman" w:eastAsia="Times New Roman" w:cs="Times New Roman"/>
      <w:color w:val="000000"/>
      <w:sz w:val="24"/>
      <w:szCs w:val="26"/>
      <w:lang w:eastAsia="ar-SA"/>
    </w:rPr>
  </w:style>
  <w:style w:type="paragraph" w:styleId="Style7">
    <w:name w:val="Заголовок"/>
    <w:basedOn w:val="Normal"/>
    <w:next w:val="BodyText1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BodyText1">
    <w:name w:val="Body Text"/>
    <w:basedOn w:val="Normal"/>
    <w:link w:val="BodyTextChar"/>
    <w:pPr>
      <w:spacing w:lineRule="atLeast" w:line="240"/>
    </w:pPr>
    <w:rPr>
      <w:sz w:val="28"/>
    </w:rPr>
  </w:style>
  <w:style w:type="paragraph" w:styleId="List">
    <w:name w:val="List"/>
    <w:basedOn w:val="BodyText1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8">
    <w:name w:val="Покажчик"/>
    <w:basedOn w:val="Normal"/>
    <w:qFormat/>
    <w:pPr>
      <w:suppressLineNumbers/>
    </w:pPr>
    <w:rPr>
      <w:rFonts w:cs="Mang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itle">
    <w:name w:val="Title"/>
    <w:basedOn w:val="Style7"/>
    <w:link w:val="TitleChar"/>
    <w:qFormat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qFormat/>
    <w:pPr>
      <w:ind w:hanging="200" w:left="200" w:right="0"/>
    </w:pPr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2">
    <w:name w:val="Основний текст з відступом 2"/>
    <w:basedOn w:val="Normal"/>
    <w:qFormat/>
    <w:pPr>
      <w:spacing w:lineRule="atLeast" w:line="240"/>
      <w:ind w:firstLine="720" w:left="0" w:right="0"/>
    </w:pPr>
    <w:rPr>
      <w:sz w:val="28"/>
    </w:rPr>
  </w:style>
  <w:style w:type="paragraph" w:styleId="BodyTextIndent">
    <w:name w:val="Body Text Indent"/>
    <w:basedOn w:val="Normal"/>
    <w:link w:val="BodyTextIndentChar"/>
    <w:pPr>
      <w:ind w:hanging="0" w:left="720" w:right="0"/>
    </w:pPr>
    <w:rPr>
      <w:sz w:val="28"/>
    </w:rPr>
  </w:style>
  <w:style w:type="paragraph" w:styleId="Style9">
    <w:name w:val="Назва об'єкта"/>
    <w:basedOn w:val="Normal"/>
    <w:next w:val="Normal"/>
    <w:qFormat/>
    <w:pPr>
      <w:jc w:val="center"/>
    </w:pPr>
    <w:rPr>
      <w:color w:val="000000"/>
      <w:sz w:val="40"/>
    </w:rPr>
  </w:style>
  <w:style w:type="paragraph" w:styleId="21">
    <w:name w:val="Основний текст 2"/>
    <w:basedOn w:val="Normal"/>
    <w:qFormat/>
    <w:pPr>
      <w:spacing w:lineRule="atLeast" w:line="240"/>
      <w:jc w:val="both"/>
    </w:pPr>
    <w:rPr>
      <w:sz w:val="28"/>
    </w:rPr>
  </w:style>
  <w:style w:type="paragraph" w:styleId="Style10">
    <w:name w:val="Содержимое таблицы"/>
    <w:basedOn w:val="Normal"/>
    <w:qFormat/>
    <w:pPr>
      <w:suppressLineNumbers/>
    </w:pPr>
    <w:rPr/>
  </w:style>
  <w:style w:type="paragraph" w:styleId="Style11">
    <w:name w:val="Заголовок таблицы"/>
    <w:basedOn w:val="Style10"/>
    <w:qFormat/>
    <w:pPr>
      <w:jc w:val="center"/>
    </w:pPr>
    <w:rPr>
      <w:b/>
      <w:bCs/>
    </w:rPr>
  </w:style>
  <w:style w:type="paragraph" w:styleId="10">
    <w:name w:val="Заголовок 10"/>
    <w:basedOn w:val="Style7"/>
    <w:qFormat/>
    <w:pPr/>
    <w:rPr>
      <w:b/>
      <w:bCs/>
      <w:sz w:val="21"/>
      <w:szCs w:val="21"/>
    </w:rPr>
  </w:style>
  <w:style w:type="paragraph" w:styleId="Style12">
    <w:name w:val="Вміст таблиці"/>
    <w:basedOn w:val="Normal"/>
    <w:qFormat/>
    <w:pPr>
      <w:suppressLineNumbers/>
    </w:pPr>
    <w:rPr/>
  </w:style>
  <w:style w:type="paragraph" w:styleId="Style13">
    <w:name w:val="Заголовок таблиці"/>
    <w:basedOn w:val="Style12"/>
    <w:qFormat/>
    <w:pPr>
      <w:jc w:val="center"/>
    </w:pPr>
    <w:rPr>
      <w:b/>
      <w:bCs/>
    </w:rPr>
  </w:style>
  <w:style w:type="paragraph" w:styleId="Style14">
    <w:name w:val="Цитати"/>
    <w:basedOn w:val="Normal"/>
    <w:qFormat/>
    <w:pPr>
      <w:spacing w:before="0" w:after="283"/>
      <w:ind w:hanging="0" w:left="567" w:right="567"/>
    </w:pPr>
    <w:rPr/>
  </w:style>
  <w:style w:type="paragraph" w:styleId="Subtitle">
    <w:name w:val="Subtitle"/>
    <w:basedOn w:val="Style7"/>
    <w:link w:val="SubtitleChar"/>
    <w:qFormat/>
    <w:pPr>
      <w:spacing w:before="60" w:after="120"/>
      <w:jc w:val="center"/>
    </w:pPr>
    <w:rPr>
      <w:sz w:val="36"/>
      <w:szCs w:val="36"/>
    </w:rPr>
  </w:style>
  <w:style w:type="paragraph" w:styleId="Style15">
    <w:name w:val="Заглавие"/>
    <w:basedOn w:val="Normal"/>
    <w:qFormat/>
    <w:pPr>
      <w:jc w:val="center"/>
    </w:pPr>
    <w:rPr>
      <w:sz w:val="28"/>
    </w:rPr>
  </w:style>
  <w:style w:type="paragraph" w:styleId="Style16">
    <w:name w:val="Текст у вказаному форматі"/>
    <w:basedOn w:val="Normal"/>
    <w:qFormat/>
    <w:pPr/>
    <w:rPr>
      <w:rFonts w:ascii="Liberation Mono" w:hAnsi="Liberation Mono" w:eastAsia="NSimSun" w:cs="Liberation Mono"/>
    </w:rPr>
  </w:style>
  <w:style w:type="paragraph" w:styleId="Style17">
    <w:name w:val="Нормальний текст"/>
    <w:basedOn w:val="Normal"/>
    <w:qFormat/>
    <w:pPr>
      <w:spacing w:before="120" w:after="0"/>
      <w:ind w:firstLine="567" w:left="0" w:right="0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18">
    <w:name w:val="Обычный (веб)"/>
    <w:basedOn w:val="Normal"/>
    <w:qFormat/>
    <w:pPr>
      <w:suppressAutoHyphens w:val="true"/>
    </w:pPr>
    <w:rPr/>
  </w:style>
  <w:style w:type="paragraph" w:styleId="Style19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firstLine="559" w:left="120" w:right="0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2">
    <w:name w:val="Основний текст (2)"/>
    <w:qFormat/>
    <w:pPr>
      <w:widowControl/>
      <w:shd w:val="clear" w:fill="FFFFFF"/>
      <w:suppressAutoHyphens w:val="true"/>
      <w:overflowPunct w:val="tru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0">
    <w:name w:val="Указатель"/>
    <w:basedOn w:val="Normal"/>
    <w:qFormat/>
    <w:pPr/>
    <w:rPr>
      <w:rFonts w:cs="Mangal"/>
    </w:rPr>
  </w:style>
  <w:style w:type="paragraph" w:styleId="Style21">
    <w:name w:val="Верхній і нижній колонтитули"/>
    <w:basedOn w:val="Normal"/>
    <w:qFormat/>
    <w:pPr/>
    <w:rPr/>
  </w:style>
  <w:style w:type="paragraph" w:styleId="Header">
    <w:name w:val="Header"/>
    <w:basedOn w:val="Style21"/>
    <w:pPr>
      <w:suppressLineNumbers/>
    </w:pPr>
    <w:rPr/>
  </w:style>
  <w:style w:type="paragraph" w:styleId="Style22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">
    <w:name w:val="Знак Знак1 Знак Знак Знак Знак Знак Знак Знак"/>
    <w:basedOn w:val="Normal"/>
    <w:next w:val="Style23"/>
    <w:qFormat/>
    <w:pPr/>
    <w:rPr>
      <w:rFonts w:ascii="Verdana" w:hAnsi="Verdana" w:cs="Verdana"/>
      <w:sz w:val="20"/>
      <w:szCs w:val="20"/>
      <w:lang w:val="en-US"/>
    </w:rPr>
  </w:style>
  <w:style w:type="paragraph" w:styleId="3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23">
    <w:name w:val="Вміст рамки"/>
    <w:basedOn w:val="Normal"/>
    <w:qFormat/>
    <w:pPr/>
    <w:rPr/>
  </w:style>
  <w:style w:type="paragraph" w:styleId="31">
    <w:name w:val="Основной текст с отступом 31"/>
    <w:basedOn w:val="Normal"/>
    <w:qFormat/>
    <w:pPr>
      <w:ind w:hanging="284" w:left="284"/>
      <w:jc w:val="both"/>
    </w:pPr>
    <w:rPr>
      <w:sz w:val="28"/>
    </w:rPr>
  </w:style>
  <w:style w:type="paragraph" w:styleId="32">
    <w:name w:val="Основной текст с отступом 3"/>
    <w:basedOn w:val="Normal"/>
    <w:qFormat/>
    <w:pPr>
      <w:spacing w:lineRule="auto" w:line="252"/>
      <w:ind w:firstLine="709"/>
      <w:jc w:val="both"/>
    </w:pPr>
    <w:rPr>
      <w:sz w:val="28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0" w:leader="none"/>
        <w:tab w:val="right" w:pos="9868" w:leader="none"/>
      </w:tabs>
      <w:ind w:firstLine="709" w:right="14"/>
      <w:jc w:val="both"/>
    </w:pPr>
    <w:rPr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1466</TotalTime>
  <Application>LibreOffice/7.6.6.3$Windows_X86_64 LibreOffice_project/d97b2716a9a4a2ce1391dee1765565ea469b0ae7</Application>
  <AppVersion>15.0000</AppVersion>
  <Pages>3</Pages>
  <Words>608</Words>
  <Characters>4290</Characters>
  <CharactersWithSpaces>4949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cp:lastPrinted>2025-11-20T16:03:15Z</cp:lastPrinted>
  <dcterms:modified xsi:type="dcterms:W3CDTF">2025-11-20T16:46:15Z</dcterms:modified>
  <cp:revision>266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