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5373"/>
        <w:gridCol w:w="4264"/>
      </w:tblGrid>
      <w:tr>
        <w:trPr/>
        <w:tc>
          <w:tcPr>
            <w:tcW w:w="5373" w:type="dxa"/>
            <w:tcBorders/>
            <w:shd w:fill="auto" w:val="clear"/>
          </w:tcPr>
          <w:p>
            <w:pPr>
              <w:pStyle w:val="Rvps14"/>
              <w:widowControl w:val="false"/>
              <w:snapToGrid w:val="false"/>
              <w:spacing w:before="0" w:after="0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</w:tc>
        <w:tc>
          <w:tcPr>
            <w:tcW w:w="4264" w:type="dxa"/>
            <w:tcBorders/>
            <w:shd w:fill="auto" w:val="clear"/>
          </w:tcPr>
          <w:p>
            <w:pPr>
              <w:pStyle w:val="Rvps12"/>
              <w:widowControl w:val="false"/>
              <w:tabs>
                <w:tab w:val="clear" w:pos="709"/>
                <w:tab w:val="left" w:pos="2800" w:leader="none"/>
                <w:tab w:val="right" w:pos="4141" w:leader="none"/>
              </w:tabs>
              <w:spacing w:before="0" w:after="0"/>
              <w:ind w:left="328" w:right="0" w:hanging="0"/>
              <w:rPr>
                <w:lang w:val="uk-UA"/>
              </w:rPr>
            </w:pPr>
            <w:r>
              <w:rPr>
                <w:lang w:val="uk-UA" w:bidi="ar-SA"/>
              </w:rPr>
              <w:t>ЗАТВЕРДЖЕНО</w:t>
            </w:r>
          </w:p>
          <w:p>
            <w:pPr>
              <w:pStyle w:val="Rvps12"/>
              <w:widowControl w:val="false"/>
              <w:spacing w:before="0" w:after="0"/>
              <w:ind w:left="328" w:right="0" w:hanging="0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  <w:p>
            <w:pPr>
              <w:pStyle w:val="Rvps12"/>
              <w:widowControl w:val="false"/>
              <w:spacing w:before="0" w:after="0"/>
              <w:ind w:left="328" w:right="0" w:hanging="0"/>
              <w:rPr>
                <w:lang w:val="uk-UA"/>
              </w:rPr>
            </w:pPr>
            <w:r>
              <w:rPr>
                <w:lang w:val="uk-UA" w:bidi="ar-SA"/>
              </w:rPr>
              <w:t>Наказ Головного управління</w:t>
            </w:r>
          </w:p>
          <w:p>
            <w:pPr>
              <w:pStyle w:val="Rvps12"/>
              <w:widowControl w:val="false"/>
              <w:spacing w:before="0" w:after="0"/>
              <w:ind w:left="328" w:right="0" w:hanging="0"/>
              <w:rPr>
                <w:lang w:val="uk-UA"/>
              </w:rPr>
            </w:pPr>
            <w:r>
              <w:rPr>
                <w:lang w:val="uk-UA" w:bidi="ar-SA"/>
              </w:rPr>
              <w:t>Пенсійного фонду України</w:t>
            </w:r>
          </w:p>
          <w:p>
            <w:pPr>
              <w:pStyle w:val="Rvps12"/>
              <w:widowControl w:val="false"/>
              <w:spacing w:before="0" w:after="0"/>
              <w:ind w:left="328" w:right="0" w:hanging="0"/>
              <w:rPr>
                <w:lang w:val="uk-UA"/>
              </w:rPr>
            </w:pPr>
            <w:r>
              <w:rPr>
                <w:lang w:val="uk-UA" w:bidi="ar-SA"/>
              </w:rPr>
              <w:t>в Дніпропетровській області</w:t>
            </w:r>
          </w:p>
          <w:p>
            <w:pPr>
              <w:pStyle w:val="Normal"/>
              <w:widowControl w:val="false"/>
              <w:ind w:left="328" w:right="0" w:hanging="0"/>
              <w:rPr/>
            </w:pP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               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none"/>
                <w:lang w:val="uk-UA" w:eastAsia="zh-CN" w:bidi="ar-SA"/>
              </w:rPr>
              <w:t xml:space="preserve">  № 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u w:val="single"/>
                <w:lang w:val="uk-UA" w:eastAsia="zh-CN" w:bidi="ar-SA"/>
              </w:rPr>
              <w:t xml:space="preserve">                 </w:t>
            </w:r>
          </w:p>
        </w:tc>
      </w:tr>
    </w:tbl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Умови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 xml:space="preserve">проведення конкурсу на зайняття вакантної посади державної служби </w:t>
      </w:r>
    </w:p>
    <w:p>
      <w:pPr>
        <w:pStyle w:val="Normal"/>
        <w:jc w:val="center"/>
        <w:rPr/>
      </w:pPr>
      <w:r>
        <w:rPr>
          <w:rStyle w:val="Rvts15"/>
          <w:lang w:val="uk-UA" w:bidi="ar-SA"/>
        </w:rPr>
        <w:t>категорії «</w:t>
      </w:r>
      <w:r>
        <w:rPr>
          <w:rStyle w:val="Rvts15"/>
          <w:lang w:val="uk-UA" w:bidi="ar-SA"/>
        </w:rPr>
        <w:t>Б</w:t>
      </w:r>
      <w:r>
        <w:rPr>
          <w:rStyle w:val="Rvts15"/>
          <w:lang w:val="uk-UA" w:bidi="ar-SA"/>
        </w:rPr>
        <w:t xml:space="preserve">» – </w:t>
      </w:r>
      <w:r>
        <w:rPr>
          <w:rStyle w:val="Rvts15"/>
          <w:rFonts w:cs="Times New Roman"/>
          <w:sz w:val="24"/>
          <w:szCs w:val="24"/>
          <w:lang w:val="uk-UA" w:bidi="ar-SA"/>
        </w:rPr>
        <w:t>начальник відділу договірної роботи юридичного управління</w:t>
      </w:r>
    </w:p>
    <w:p>
      <w:pPr>
        <w:pStyle w:val="Normal"/>
        <w:jc w:val="center"/>
        <w:rPr>
          <w:lang w:val="uk-UA"/>
        </w:rPr>
      </w:pPr>
      <w:r>
        <w:rPr>
          <w:sz w:val="24"/>
          <w:szCs w:val="24"/>
          <w:lang w:val="uk-UA" w:bidi="ar-SA"/>
        </w:rPr>
        <w:t xml:space="preserve">Головного управління Пенсійного фонду України в Дніпропетровській області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  <w:lang w:val="uk-UA" w:bidi="ar-SA"/>
        </w:rPr>
        <w:t>(</w:t>
      </w:r>
      <w:r>
        <w:rPr>
          <w:bCs/>
          <w:sz w:val="24"/>
          <w:szCs w:val="24"/>
          <w:lang w:val="uk-UA" w:bidi="ar-SA"/>
        </w:rPr>
        <w:t>місцезнаходження  робочого місця</w:t>
      </w:r>
      <w:r>
        <w:rPr>
          <w:sz w:val="24"/>
          <w:szCs w:val="24"/>
          <w:lang w:val="uk-UA" w:bidi="ar-SA"/>
        </w:rPr>
        <w:t>: м. Дніпро, вул. Набережна Перемоги, буд. 26)</w:t>
      </w:r>
    </w:p>
    <w:p>
      <w:pPr>
        <w:pStyle w:val="Normal"/>
        <w:jc w:val="center"/>
        <w:rPr>
          <w:lang w:val="uk-UA" w:bidi="ar-SA"/>
        </w:rPr>
      </w:pPr>
      <w:r>
        <w:rPr>
          <w:lang w:val="uk-UA" w:bidi="ar-SA"/>
        </w:rPr>
      </w:r>
    </w:p>
    <w:tbl>
      <w:tblPr>
        <w:tblW w:w="9970" w:type="dxa"/>
        <w:jc w:val="left"/>
        <w:tblInd w:w="-27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4"/>
        <w:gridCol w:w="3087"/>
        <w:gridCol w:w="1"/>
        <w:gridCol w:w="6318"/>
      </w:tblGrid>
      <w:tr>
        <w:trPr>
          <w:trHeight w:val="135" w:hRule="atLeast"/>
        </w:trPr>
        <w:tc>
          <w:tcPr>
            <w:tcW w:w="9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Rvps12"/>
              <w:widowControl w:val="false"/>
              <w:spacing w:before="0" w:after="0"/>
              <w:jc w:val="center"/>
              <w:rPr>
                <w:b/>
                <w:b/>
                <w:lang w:val="uk-UA"/>
              </w:rPr>
            </w:pPr>
            <w:bookmarkStart w:id="0" w:name="n196"/>
            <w:bookmarkEnd w:id="0"/>
            <w:r>
              <w:rPr>
                <w:b/>
                <w:lang w:val="uk-UA" w:bidi="ar-SA"/>
              </w:rPr>
              <w:t>Загальні умови</w:t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0" w:right="151" w:firstLine="180"/>
              <w:jc w:val="both"/>
              <w:rPr>
                <w:lang w:val="uk-UA"/>
              </w:rPr>
            </w:pPr>
            <w:r>
              <w:rPr>
                <w:lang w:val="uk-UA" w:bidi="ar-SA"/>
              </w:rPr>
              <w:t>Посадові обов’язки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eastAsia="uk-UA" w:bidi="ar-SA"/>
              </w:rPr>
              <w:t>1.Здійснювати керівництво відділом договірної роботи, спрямовувати його діяльність, організовувати та забезпечувати виконання функцій, покладених на відділ.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eastAsia="uk-UA" w:bidi="ar-SA"/>
              </w:rPr>
              <w:t xml:space="preserve">2. </w:t>
            </w:r>
            <w:r>
              <w:rPr>
                <w:lang w:val="uk-UA" w:bidi="ar-SA"/>
              </w:rPr>
              <w:t>Організовувати роботу, пов’язану з укладанням договорів (контрактів), брати участь у їх підготовці та здійсненні заходів, спрямованих на виконання договірних зобов’язань, забезпеченні захисту майнових прав і законних інтересів Головного управління Фонду;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ведення реєстрації господарських договорів та їх обліку;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 xml:space="preserve">проводити разом із заінтересованими структурними підрозділами аналіз результатів господарської діяльності, вивчати умови і причини виникнення непродуктивних витрат, порушення договірних зобов’язань, а також стан дебіторської та кредиторської заборгованості; 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брати участь у розробці проектів документації при закупівлі товарів, робіт і послуг для забезпечення потреб Головного управління Фонду;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готувати та подавати керівництву Головного управління Фонду пропозиції щодо покращення організації проведення процедур закупівель;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аналізувати та узагальнювати інформацію щодо здійснення публічних закупівель, проведених Головним управлінням Фонду;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зводити та своєчасно подавати звітність Головного управління Фонду щодо закупівель товарів, робіт і послуг;</w:t>
            </w:r>
          </w:p>
          <w:p>
            <w:pPr>
              <w:pStyle w:val="121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готувати інформацію про проведення процедур закупівель та копій відповідних документів за завданням керівника Головного управління Фонду або його заступників;</w:t>
            </w:r>
          </w:p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проводити моніторинг стану розгляду скарг АМК України у сфері публічних закупівель.</w:t>
            </w:r>
          </w:p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3. Перевіряти на відповідність законодавству господарські договори (угод), інші акти та розпорядчі документи, що подаються на підпис начальнику юридичного управління, приймати участь в розробці проектів наказів.</w:t>
            </w:r>
          </w:p>
          <w:p>
            <w:pPr>
              <w:pStyle w:val="121"/>
              <w:ind w:left="283" w:right="283" w:hanging="0"/>
              <w:rPr/>
            </w:pPr>
            <w:r>
              <w:rPr>
                <w:lang w:val="uk-UA" w:bidi="ar-SA"/>
              </w:rPr>
              <w:t>4.</w:t>
            </w:r>
            <w:r>
              <w:rPr>
                <w:rStyle w:val="Heading4Char"/>
                <w:sz w:val="24"/>
                <w:szCs w:val="24"/>
                <w:lang w:val="uk-UA" w:eastAsia="uk-UA" w:bidi="ar-SA"/>
              </w:rPr>
              <w:t xml:space="preserve"> </w:t>
            </w:r>
            <w:r>
              <w:rPr>
                <w:rStyle w:val="FontStyle13"/>
                <w:sz w:val="24"/>
                <w:szCs w:val="24"/>
                <w:lang w:val="uk-UA" w:eastAsia="uk-UA" w:bidi="ar-SA"/>
              </w:rPr>
              <w:t>Розглядати в межах своєї компетенції листи, звернення, інші документи, що надходять до Відділу та готувати проекти відповідей на них;</w:t>
            </w:r>
          </w:p>
          <w:p>
            <w:pPr>
              <w:pStyle w:val="121"/>
              <w:ind w:left="283" w:right="283" w:hanging="0"/>
              <w:rPr/>
            </w:pPr>
            <w:r>
              <w:rPr>
                <w:rStyle w:val="FontStyle13"/>
                <w:color w:val="000000"/>
                <w:sz w:val="24"/>
                <w:szCs w:val="24"/>
                <w:lang w:val="uk-UA" w:eastAsia="uk-UA" w:bidi="ar-SA"/>
              </w:rPr>
              <w:t>готувати запити до підприємств, установ, організацій.</w:t>
            </w:r>
          </w:p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спрямовувати, координувати роботу, здійснювати методичне керівництво.</w:t>
            </w:r>
          </w:p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5. Сприяти правильному застосуванню актів законодавства про працю, у разі невиконання або порушення їх вимог подавати керівництву письмовий висновок з пропозиціями щодо усунення таких порушень.</w:t>
            </w:r>
          </w:p>
          <w:p>
            <w:pPr>
              <w:pStyle w:val="Style81"/>
              <w:spacing w:lineRule="auto" w:line="240"/>
              <w:ind w:left="283" w:right="283" w:hanging="0"/>
              <w:rPr>
                <w:lang w:val="uk-UA" w:bidi="ar-SA"/>
              </w:rPr>
            </w:pPr>
            <w:r>
              <w:rPr>
                <w:lang w:val="uk-UA" w:bidi="ar-SA"/>
              </w:rPr>
              <w:t>6. Здійснювати контроль за забезпеченням конфіденційності даних чи іншої інформації щодо публічних закупівель, яка не підлягає розголошенню згідно з чинним законодавством</w:t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180" w:right="151" w:hanging="0"/>
              <w:jc w:val="both"/>
              <w:rPr>
                <w:lang w:val="uk-UA"/>
              </w:rPr>
            </w:pPr>
            <w:r>
              <w:rPr>
                <w:lang w:val="uk-UA" w:bidi="ar-SA"/>
              </w:rPr>
              <w:t>Умови оплати праці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lang w:val="uk-UA" w:eastAsia="zh-CN" w:bidi="ar-SA"/>
              </w:rPr>
              <w:t xml:space="preserve">Посадовий оклад – 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uk-UA" w:eastAsia="zh-CN" w:bidi="ar-SA"/>
              </w:rPr>
              <w:t>7050</w:t>
            </w:r>
            <w:r>
              <w:rPr>
                <w:lang w:val="uk-UA" w:eastAsia="zh-CN" w:bidi="ar-SA"/>
              </w:rPr>
              <w:t xml:space="preserve">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lang w:val="uk-UA" w:eastAsia="zh-CN" w:bidi="ar-SA"/>
              </w:rPr>
              <w:t>Надбавка за ранг державного службовця — від 500 до 800 грн.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Надбавка за вислугу років — 3 відсотки посадового окладу державного службовця за кожний календарний рік стажу державної служби, але не більше 50 відсотків посадового окладу.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lang w:val="uk-UA" w:bidi="ar-SA"/>
              </w:rPr>
              <w:t xml:space="preserve">Надбавки, доплати та премії відповідно до статті 52 Закону України </w:t>
            </w:r>
            <w:r>
              <w:rPr>
                <w:rStyle w:val="Rvts15"/>
                <w:lang w:val="uk-UA" w:bidi="ar-SA"/>
              </w:rPr>
              <w:t>“</w:t>
            </w:r>
            <w:r>
              <w:rPr>
                <w:lang w:val="uk-UA" w:bidi="ar-SA"/>
              </w:rPr>
              <w:t>Про державну службу” (зі змінами)</w:t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180" w:right="151" w:hanging="0"/>
              <w:jc w:val="both"/>
              <w:rPr>
                <w:lang w:val="uk-UA"/>
              </w:rPr>
            </w:pPr>
            <w:r>
              <w:rPr>
                <w:lang w:val="uk-UA" w:bidi="ar-SA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238" w:right="170" w:hanging="0"/>
              <w:jc w:val="both"/>
              <w:rPr>
                <w:lang w:val="uk-UA"/>
              </w:rPr>
            </w:pPr>
            <w:r>
              <w:rPr>
                <w:lang w:val="uk-UA" w:bidi="ar-SA"/>
              </w:rPr>
              <w:t>Безстрокове.</w:t>
            </w:r>
          </w:p>
          <w:p>
            <w:pPr>
              <w:pStyle w:val="Rvps14"/>
              <w:widowControl w:val="false"/>
              <w:spacing w:before="0" w:after="0"/>
              <w:ind w:left="238" w:right="170" w:hanging="0"/>
              <w:jc w:val="both"/>
              <w:rPr>
                <w:lang w:val="uk-UA"/>
              </w:rPr>
            </w:pPr>
            <w:r>
              <w:rPr>
                <w:lang w:val="uk-UA" w:bidi="ar-SA"/>
              </w:rPr>
              <w:t>Строк призначення особи, яка досягла 65-річного віку, становить один рік з правом повторного призначення без обов’язкового проведення конкурсу щороку.</w:t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180" w:right="151" w:hanging="0"/>
              <w:rPr>
                <w:lang w:val="uk-UA"/>
              </w:rPr>
            </w:pPr>
            <w:r>
              <w:rPr>
                <w:lang w:val="uk-UA" w:bidi="ar-SA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hanging="0"/>
              <w:jc w:val="both"/>
              <w:rPr>
                <w:rFonts w:eastAsia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Особа, яка бажає взяти участь у конкурсі, подає через Єдиний портал вакансій державної служби  (career.gov.ua) таку інформацію: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hanging="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1. Заява про участь у конкурсі із зазначенням основних мотивів щодо зайняття посади за формою згідно з                додатком 2 до Порядку проведення конкурсу на зайняття посад державної служби.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hanging="0"/>
              <w:jc w:val="both"/>
              <w:rPr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  <w:t>2. Резюме за формою згідно з додатком 2</w:t>
            </w:r>
            <w:r>
              <w:rPr>
                <w:sz w:val="24"/>
                <w:szCs w:val="24"/>
                <w:vertAlign w:val="superscript"/>
                <w:lang w:val="uk-UA" w:bidi="ar-SA"/>
              </w:rPr>
              <w:t>1</w:t>
            </w:r>
            <w:r>
              <w:rPr>
                <w:sz w:val="24"/>
                <w:szCs w:val="24"/>
                <w:lang w:val="uk-UA" w:bidi="ar-SA"/>
              </w:rPr>
              <w:t xml:space="preserve"> до Порядку проведення конкурсу на зайняття посад державної служби, в якому обов’язково зазначається така інформація: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firstLine="51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прізвище, ім’я, по батькові кандидата;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firstLine="51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firstLine="51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підтвердження наявності відповідного ступеня вищої освіти;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firstLine="51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підтвердження рівня вільного володіння державною мовою;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345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283" w:right="113" w:firstLine="510"/>
              <w:jc w:val="both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/>
              </w:rPr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3. Заява, в якій особа повідомляє, що до неї не застосовуються заборони, визначені частиною третьою або четвертою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rFonts w:eastAsia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ru-RU" w:bidi="ar-SA"/>
              </w:rPr>
              <w:t>На електронні документи, що подаються для участі у конкурсі, накладається кваліфікований електронний підпис кандидата.</w:t>
            </w:r>
          </w:p>
          <w:p>
            <w:pPr>
              <w:pStyle w:val="Normal"/>
              <w:widowControl w:val="false"/>
              <w:ind w:left="0" w:right="170" w:hanging="0"/>
              <w:jc w:val="both"/>
              <w:rPr>
                <w:rFonts w:eastAsia="Times New Roman" w:cs="Times New Roman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eastAsia="ru-RU" w:bidi="ar-SA"/>
              </w:rPr>
            </w:pPr>
            <w:r>
              <w:rPr>
                <w:rFonts w:eastAsia="Times New Roman" w:cs="Times New Roman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eastAsia="ru-RU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lang w:val="uk-UA" w:bidi="ar-SA"/>
              </w:rPr>
              <w:t>Строк подання інформації до 17 год. 00 хв.</w:t>
            </w:r>
            <w:r>
              <w:rPr>
                <w:lang w:val="en-US" w:bidi="ar-SA"/>
              </w:rPr>
              <w:t xml:space="preserve"> 0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8</w:t>
            </w:r>
            <w:r>
              <w:rPr>
                <w:rFonts w:eastAsia="Times New Roman" w:cs="Times New Roman"/>
                <w:color w:val="auto"/>
                <w:kern w:val="2"/>
                <w:sz w:val="24"/>
                <w:szCs w:val="24"/>
                <w:lang w:val="uk-UA" w:eastAsia="zh-CN" w:bidi="ar-SA"/>
              </w:rPr>
              <w:t xml:space="preserve"> липня</w:t>
            </w:r>
            <w:r>
              <w:rPr>
                <w:lang w:val="uk-UA" w:bidi="ar-SA"/>
              </w:rPr>
              <w:t xml:space="preserve"> </w:t>
            </w:r>
            <w:r>
              <w:rPr>
                <w:color w:val="000000"/>
                <w:lang w:val="uk-UA" w:bidi="ar-SA"/>
              </w:rPr>
              <w:t>2021 року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color w:val="000000"/>
                <w:lang w:val="uk-UA" w:bidi="ar-SA"/>
              </w:rPr>
            </w:pPr>
            <w:r>
              <w:rPr>
                <w:color w:val="000000"/>
                <w:lang w:val="uk-UA" w:bidi="ar-SA"/>
              </w:rPr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212" w:right="160" w:hanging="0"/>
              <w:rPr>
                <w:lang w:val="uk-UA"/>
              </w:rPr>
            </w:pPr>
            <w:r>
              <w:rPr>
                <w:lang w:val="uk-UA" w:bidi="ar-SA"/>
              </w:rPr>
              <w:t>Додаткові (необов’язкові) документи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>
                <w:lang w:val="uk-UA" w:bidi="ar-SA"/>
              </w:rPr>
            </w:pPr>
            <w:r>
              <w:rPr>
                <w:lang w:val="uk-UA" w:bidi="ar-SA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  <w:p>
            <w:pPr>
              <w:pStyle w:val="Rvps2"/>
              <w:widowControl w:val="false"/>
              <w:spacing w:before="0" w:after="0"/>
              <w:ind w:left="236" w:right="167" w:hanging="0"/>
              <w:jc w:val="both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27" w:right="12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Дата і час початку проведення тестування кандидатів.</w:t>
            </w:r>
          </w:p>
          <w:p>
            <w:pPr>
              <w:pStyle w:val="Normal"/>
              <w:widowControl w:val="false"/>
              <w:spacing w:lineRule="auto" w:line="240" w:before="0" w:after="0"/>
              <w:ind w:left="127" w:right="12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тестування.</w:t>
            </w:r>
          </w:p>
          <w:p>
            <w:pPr>
              <w:pStyle w:val="Normal"/>
              <w:widowControl w:val="false"/>
              <w:spacing w:lineRule="auto" w:line="240" w:before="0" w:after="0"/>
              <w:ind w:left="127" w:right="12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/>
            </w:pPr>
            <w:r>
              <w:rPr>
                <w:lang w:val="uk-UA" w:eastAsia="zh-CN" w:bidi="ar-SA"/>
              </w:rPr>
              <w:t>12 липня 2021 року о 10 год. 00 хв.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bidi="ar-SA"/>
              </w:rPr>
            </w:pPr>
            <w:r>
              <w:rPr>
                <w:lang w:val="uk-UA" w:bidi="ar-SA"/>
              </w:rPr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м. Дніпро, вул. Набережна Перемоги, 26, (проведення тестування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  <w:t>Кандидатам при собі необхідно мати паспорт громадянина України або інший документ, який посвідчує особу та підтверджує громадянство України</w:t>
            </w:r>
          </w:p>
          <w:p>
            <w:pPr>
              <w:pStyle w:val="Normal"/>
              <w:widowControl w:val="false"/>
              <w:spacing w:before="0" w:after="0"/>
              <w:ind w:left="238" w:right="170" w:hanging="0"/>
              <w:jc w:val="both"/>
              <w:rPr>
                <w:rFonts w:eastAsia="Calibri" w:cs="Times New Roman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Times New Roman"/>
                <w:sz w:val="24"/>
                <w:szCs w:val="24"/>
                <w:lang w:val="uk-UA" w:eastAsia="en-US" w:bidi="ar-SA"/>
              </w:rPr>
            </w:r>
          </w:p>
        </w:tc>
      </w:tr>
      <w:tr>
        <w:trPr/>
        <w:tc>
          <w:tcPr>
            <w:tcW w:w="365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127" w:right="126" w:hanging="0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  <w:p>
            <w:pPr>
              <w:pStyle w:val="Normal"/>
              <w:widowControl w:val="false"/>
              <w:spacing w:lineRule="auto" w:line="240" w:before="0" w:after="0"/>
              <w:ind w:left="127" w:right="126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</w:r>
          </w:p>
        </w:tc>
        <w:tc>
          <w:tcPr>
            <w:tcW w:w="63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lang w:val="uk-UA" w:eastAsia="zh-CN" w:bidi="ar-SA"/>
              </w:rPr>
            </w:pPr>
            <w:r>
              <w:rPr>
                <w:lang w:val="uk-UA" w:eastAsia="zh-CN" w:bidi="ar-SA"/>
              </w:rPr>
              <w:t>м. Дніпро, вул. Набережна Перемоги, 26, (проведення співбесіди за фізичної присутності кандидатів)</w:t>
            </w:r>
          </w:p>
        </w:tc>
      </w:tr>
      <w:tr>
        <w:trPr/>
        <w:tc>
          <w:tcPr>
            <w:tcW w:w="3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4"/>
              <w:widowControl w:val="false"/>
              <w:spacing w:before="0" w:after="0"/>
              <w:ind w:left="180" w:right="151" w:hanging="0"/>
              <w:rPr>
                <w:lang w:val="uk-UA"/>
              </w:rPr>
            </w:pPr>
            <w:r>
              <w:rPr>
                <w:lang w:val="uk-UA" w:bidi="ar-SA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конкурсу</w:t>
            </w:r>
          </w:p>
        </w:tc>
        <w:tc>
          <w:tcPr>
            <w:tcW w:w="6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ind w:left="238" w:right="170" w:hanging="0"/>
              <w:rPr/>
            </w:pPr>
            <w:r>
              <w:rPr>
                <w:lang w:val="uk-UA" w:bidi="ar-SA"/>
              </w:rPr>
              <w:t>Юрченко Юлія Олегівна,</w:t>
            </w:r>
          </w:p>
          <w:p>
            <w:pPr>
              <w:pStyle w:val="Normal"/>
              <w:widowControl w:val="false"/>
              <w:ind w:left="238" w:right="170" w:hanging="0"/>
              <w:rPr>
                <w:lang w:val="uk-UA" w:bidi="ar-SA"/>
              </w:rPr>
            </w:pPr>
            <w:r>
              <w:rPr>
                <w:lang w:val="uk-UA" w:bidi="ar-SA"/>
              </w:rPr>
              <w:t>067-885-90-10,</w:t>
            </w:r>
          </w:p>
          <w:p>
            <w:pPr>
              <w:pStyle w:val="Normal"/>
              <w:widowControl w:val="false"/>
              <w:ind w:left="238" w:right="170" w:hanging="0"/>
              <w:rPr>
                <w:lang w:val="uk-UA" w:bidi="ar-SA"/>
              </w:rPr>
            </w:pPr>
            <w:r>
              <w:rPr>
                <w:lang w:val="uk-UA" w:bidi="ar-SA"/>
              </w:rPr>
              <w:t>040702@dp.pfu.gov.ua</w:t>
            </w:r>
          </w:p>
          <w:p>
            <w:pPr>
              <w:pStyle w:val="Rvps14"/>
              <w:widowControl w:val="false"/>
              <w:spacing w:before="0" w:after="0"/>
              <w:ind w:left="179" w:right="164" w:hanging="0"/>
              <w:rPr>
                <w:b/>
                <w:b/>
                <w:lang w:val="uk-UA" w:bidi="ar-SA"/>
              </w:rPr>
            </w:pPr>
            <w:r>
              <w:rPr>
                <w:b/>
                <w:lang w:val="uk-UA" w:bidi="ar-SA"/>
              </w:rPr>
            </w:r>
          </w:p>
        </w:tc>
      </w:tr>
      <w:tr>
        <w:trPr/>
        <w:tc>
          <w:tcPr>
            <w:tcW w:w="9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ind w:left="0" w:right="-196" w:hanging="0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 w:bidi="ar-SA"/>
              </w:rPr>
              <w:t>Кваліфікаційні вимоги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4"/>
              <w:widowControl w:val="false"/>
              <w:spacing w:before="0" w:after="0"/>
              <w:ind w:left="153" w:right="164" w:hanging="0"/>
              <w:rPr>
                <w:lang w:val="uk-UA"/>
              </w:rPr>
            </w:pPr>
            <w:r>
              <w:rPr>
                <w:lang w:val="uk-UA" w:bidi="ar-SA"/>
              </w:rPr>
              <w:t>Освіта</w:t>
            </w:r>
          </w:p>
        </w:tc>
        <w:tc>
          <w:tcPr>
            <w:tcW w:w="6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hd w:val="clear" w:fill="FFFFFF"/>
              <w:spacing w:lineRule="atLeast" w:line="240" w:before="0" w:after="0"/>
              <w:ind w:left="238" w:right="170" w:hanging="0"/>
              <w:jc w:val="both"/>
              <w:rPr/>
            </w:pPr>
            <w:r>
              <w:rPr>
                <w:rStyle w:val="Rvts0"/>
                <w:rFonts w:eastAsia="Times New Roman" w:cs="Times New Roman"/>
                <w:sz w:val="24"/>
                <w:szCs w:val="24"/>
                <w:lang w:val="uk-UA" w:bidi="ar-SA"/>
              </w:rPr>
              <w:t>в</w:t>
            </w: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 xml:space="preserve">ища юридична освіта </w:t>
            </w:r>
            <w:r>
              <w:rPr>
                <w:rStyle w:val="Rvts0"/>
                <w:rFonts w:eastAsia="Times New Roman" w:cs="Times New Roman"/>
                <w:sz w:val="24"/>
                <w:szCs w:val="24"/>
                <w:lang w:val="uk-UA" w:bidi="ar-SA"/>
              </w:rPr>
              <w:t xml:space="preserve">за ступенем </w:t>
            </w:r>
            <w:r>
              <w:rPr>
                <w:rStyle w:val="Rvts0"/>
                <w:rFonts w:eastAsia="Times New Roman" w:cs="Times New Roman"/>
                <w:sz w:val="24"/>
                <w:szCs w:val="24"/>
                <w:shd w:fill="FFFFFF" w:val="clear"/>
                <w:lang w:val="uk-UA" w:bidi="ar-SA"/>
              </w:rPr>
              <w:t xml:space="preserve"> не нижче магістра</w:t>
            </w:r>
            <w:r>
              <w:rPr>
                <w:rStyle w:val="Rvts0"/>
                <w:rFonts w:eastAsia="Times New Roman" w:cs="Times New Roman"/>
                <w:sz w:val="24"/>
                <w:szCs w:val="24"/>
                <w:lang w:val="uk-UA" w:bidi="ar-SA"/>
              </w:rPr>
              <w:t>, відповідно до Постанови правління Пенсійного фонду України  № 25-3 від 04.11.2016.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4"/>
              <w:widowControl w:val="false"/>
              <w:spacing w:before="0" w:after="0"/>
              <w:ind w:left="153" w:right="164" w:hanging="0"/>
              <w:rPr>
                <w:lang w:val="uk-UA"/>
              </w:rPr>
            </w:pPr>
            <w:r>
              <w:rPr>
                <w:lang w:val="uk-UA" w:bidi="ar-SA"/>
              </w:rPr>
              <w:t>Досвід роботи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ind w:left="238" w:right="170" w:hanging="0"/>
              <w:jc w:val="both"/>
              <w:rPr>
                <w:sz w:val="24"/>
                <w:szCs w:val="24"/>
                <w:highlight w:val="white"/>
                <w:lang w:val="uk-UA" w:bidi="ar-SA"/>
              </w:rPr>
            </w:pPr>
            <w:r>
              <w:rPr>
                <w:rFonts w:cs="Times New Roman"/>
                <w:sz w:val="24"/>
                <w:szCs w:val="24"/>
                <w:highlight w:val="white"/>
                <w:lang w:val="uk-UA" w:bidi="ar-SA"/>
              </w:rPr>
              <w:t>досвід роботи на посадах державної служби категорій “Б” чи “В”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4"/>
              <w:widowControl w:val="false"/>
              <w:spacing w:before="0" w:after="0"/>
              <w:ind w:left="153" w:right="164" w:hanging="0"/>
              <w:rPr>
                <w:lang w:val="uk-UA" w:bidi="ar-SA"/>
              </w:rPr>
            </w:pPr>
            <w:r>
              <w:rPr>
                <w:lang w:val="uk-UA" w:bidi="ar-SA"/>
              </w:rPr>
              <w:t>Володіння державною мовою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ind w:left="238" w:right="170" w:hanging="0"/>
              <w:rPr>
                <w:lang w:val="uk-UA"/>
              </w:rPr>
            </w:pPr>
            <w:r>
              <w:rPr>
                <w:lang w:val="uk-UA" w:bidi="ar-SA"/>
              </w:rPr>
              <w:t>вільне володіння державною мовою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311"/>
              <w:widowControl w:val="false"/>
              <w:snapToGrid w:val="false"/>
              <w:spacing w:before="0" w:after="0"/>
              <w:jc w:val="center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</w:r>
          </w:p>
        </w:tc>
        <w:tc>
          <w:tcPr>
            <w:tcW w:w="9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Style31"/>
              <w:widowControl w:val="false"/>
              <w:ind w:left="164" w:right="165" w:hanging="0"/>
              <w:jc w:val="center"/>
              <w:rPr>
                <w:rFonts w:cs="Times New Roman"/>
                <w:b/>
                <w:b/>
              </w:rPr>
            </w:pPr>
            <w:r>
              <w:rPr>
                <w:rFonts w:cs="Times New Roman"/>
                <w:b/>
                <w:lang w:val="uk-UA" w:bidi="ar-SA"/>
              </w:rPr>
              <w:t>Вимоги до компетентності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311"/>
              <w:widowControl w:val="false"/>
              <w:snapToGrid w:val="false"/>
              <w:spacing w:before="0" w:after="0"/>
              <w:rPr>
                <w:sz w:val="24"/>
                <w:szCs w:val="24"/>
                <w:lang w:val="uk-UA" w:bidi="ar-SA"/>
              </w:rPr>
            </w:pPr>
            <w:r>
              <w:rPr>
                <w:sz w:val="24"/>
                <w:szCs w:val="24"/>
                <w:lang w:val="uk-UA" w:bidi="ar-SA"/>
              </w:rPr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 w:bidi="ar-SA"/>
              </w:rPr>
              <w:t>Вимоги</w:t>
            </w:r>
          </w:p>
        </w:tc>
        <w:tc>
          <w:tcPr>
            <w:tcW w:w="6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="0" w:after="0"/>
              <w:jc w:val="center"/>
              <w:rPr>
                <w:b/>
                <w:b/>
                <w:lang w:val="uk-UA"/>
              </w:rPr>
            </w:pPr>
            <w:r>
              <w:rPr>
                <w:b/>
                <w:lang w:val="uk-UA" w:bidi="ar-SA"/>
              </w:rPr>
              <w:t>Компоненти вимоги</w:t>
            </w:r>
          </w:p>
        </w:tc>
      </w:tr>
      <w:tr>
        <w:trPr>
          <w:trHeight w:val="269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1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520" w:leader="none"/>
              </w:tabs>
              <w:suppressAutoHyphens w:val="true"/>
              <w:bidi w:val="0"/>
              <w:spacing w:lineRule="auto" w:line="259" w:before="0" w:after="160"/>
              <w:ind w:left="113" w:right="113" w:firstLine="57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Концептуальне та                         інноваційне мислення</w:t>
            </w:r>
          </w:p>
        </w:tc>
        <w:tc>
          <w:tcPr>
            <w:tcW w:w="6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52" w:leader="none"/>
              </w:tabs>
              <w:suppressAutoHyphens w:val="true"/>
              <w:bidi w:val="0"/>
              <w:spacing w:lineRule="auto" w:line="259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здатність сприймати інформацію та мислити концептуально, здатність формувати закінчені (оформлені) пропозиції, здатність формувати нові/інноваційні ідеї та підходи; здатність здійснювати гендерний аналіз в процесі підготовки (оформленні) пропозицій та рішень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2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120" w:leader="none"/>
                <w:tab w:val="left" w:pos="252" w:leader="none"/>
              </w:tabs>
              <w:suppressAutoHyphens w:val="true"/>
              <w:bidi w:val="0"/>
              <w:spacing w:lineRule="auto" w:line="259" w:before="0" w:after="160"/>
              <w:ind w:right="0" w:hanging="0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 xml:space="preserve">  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Досягнення результатів</w:t>
            </w:r>
          </w:p>
        </w:tc>
        <w:tc>
          <w:tcPr>
            <w:tcW w:w="6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52" w:leader="none"/>
              </w:tabs>
              <w:suppressAutoHyphens w:val="true"/>
              <w:bidi w:val="0"/>
              <w:spacing w:lineRule="auto" w:line="259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здатність чіткого бачення результату діяльності, вміння фокусувати зусилля для результату діяльності, вміння запобігати та ефективно долати перешкоди, навички планування своєї роботи, дисципліна та відповідальність за виконання своїх задач</w:t>
            </w:r>
          </w:p>
        </w:tc>
      </w:tr>
      <w:tr>
        <w:trPr/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3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252" w:leader="none"/>
              </w:tabs>
              <w:suppressAutoHyphens w:val="true"/>
              <w:bidi w:val="0"/>
              <w:spacing w:lineRule="auto" w:line="259" w:before="0" w:after="160"/>
              <w:ind w:left="113" w:right="0" w:firstLine="57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Комунікація та взаємодія</w:t>
            </w:r>
          </w:p>
        </w:tc>
        <w:tc>
          <w:tcPr>
            <w:tcW w:w="63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52" w:leader="none"/>
              </w:tabs>
              <w:suppressAutoHyphens w:val="true"/>
              <w:bidi w:val="0"/>
              <w:spacing w:lineRule="auto" w:line="259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вміння слухати та сприймати думки, здатність ефективно взаємодіяти, дослухатися, сприймати та викладати думку, чітко висловлюватися (усно та письмово), готовність ділитись ідеями та досвідом, відкритість в обміні інформацією, орієнтація на командний результат, вміння розбудовувати партнерські відносини, здатність переконувати інших за допомогою аргументів та послідовної комунікації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Style29"/>
              <w:widowControl w:val="false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uk-UA" w:bidi="ar-SA"/>
              </w:rPr>
              <w:t>4</w:t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252" w:leader="none"/>
              </w:tabs>
              <w:spacing w:before="0" w:after="160"/>
              <w:ind w:left="-108" w:right="0" w:firstLine="72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 xml:space="preserve">    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Стресостійкість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252" w:leader="none"/>
              </w:tabs>
              <w:suppressAutoHyphens w:val="true"/>
              <w:bidi w:val="0"/>
              <w:spacing w:lineRule="auto" w:line="259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- вміння управляти своїми емоціями, здатність до самоконтролю, здатність до конструктивного ставлення до зворотнього зв’яжу, зокрема критики, оптимізм</w:t>
            </w:r>
          </w:p>
        </w:tc>
      </w:tr>
      <w:tr>
        <w:trPr/>
        <w:tc>
          <w:tcPr>
            <w:tcW w:w="99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2"/>
              <w:widowControl w:val="false"/>
              <w:spacing w:before="0" w:after="0"/>
              <w:ind w:left="-69" w:right="165" w:hanging="0"/>
              <w:jc w:val="center"/>
              <w:rPr>
                <w:rFonts w:eastAsia="TimesNewRomanPSMT;Arial Unicode MS"/>
                <w:b/>
                <w:b/>
                <w:sz w:val="24"/>
                <w:szCs w:val="24"/>
                <w:lang w:val="uk-UA"/>
              </w:rPr>
            </w:pPr>
            <w:r>
              <w:rPr>
                <w:rFonts w:eastAsia="TimesNewRomanPSMT;Arial Unicode MS"/>
                <w:b/>
                <w:sz w:val="24"/>
                <w:szCs w:val="24"/>
                <w:lang w:val="uk-UA" w:bidi="ar-SA"/>
              </w:rPr>
              <w:t>Професійні знання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212"/>
              <w:widowControl w:val="false"/>
              <w:snapToGrid w:val="false"/>
              <w:jc w:val="center"/>
              <w:rPr>
                <w:rFonts w:ascii="Times New Roman" w:hAnsi="Times New Roman" w:eastAsia="TimesNewRomanPSMT;Arial Unicode MS" w:cs="Times New Roman"/>
                <w:b/>
                <w:b/>
                <w:sz w:val="24"/>
                <w:szCs w:val="24"/>
                <w:lang w:val="uk-UA" w:bidi="ar-SA"/>
              </w:rPr>
            </w:pPr>
            <w:r>
              <w:rPr>
                <w:rFonts w:eastAsia="TimesNewRomanPSMT;Arial Unicode MS" w:cs="Times New Roman" w:ascii="Times New Roman" w:hAnsi="Times New Roman"/>
                <w:b/>
                <w:sz w:val="24"/>
                <w:szCs w:val="24"/>
                <w:lang w:val="uk-UA" w:bidi="ar-SA"/>
              </w:rPr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2"/>
              <w:widowControl w:val="false"/>
              <w:spacing w:before="0" w:after="0"/>
              <w:jc w:val="center"/>
              <w:rPr>
                <w:b/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 w:bidi="ar-SA"/>
              </w:rPr>
              <w:t>Вимоги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2"/>
              <w:widowControl w:val="false"/>
              <w:spacing w:before="0" w:after="0"/>
              <w:jc w:val="center"/>
              <w:rPr>
                <w:b/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 w:bidi="ar-SA"/>
              </w:rPr>
              <w:t>Компоненти вимоги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2"/>
              <w:widowControl w:val="false"/>
              <w:spacing w:before="0" w:after="0"/>
              <w:jc w:val="center"/>
              <w:rPr>
                <w:lang w:val="uk-UA"/>
              </w:rPr>
            </w:pPr>
            <w:r>
              <w:rPr>
                <w:lang w:val="uk-UA" w:bidi="ar-SA"/>
              </w:rPr>
              <w:t>1</w:t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Rvps14"/>
              <w:widowControl w:val="false"/>
              <w:spacing w:before="0" w:after="0"/>
              <w:ind w:left="226" w:right="206" w:hanging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 w:bidi="ar-SA"/>
              </w:rPr>
              <w:t>Знання законодавства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before="0" w:after="0"/>
              <w:ind w:left="283" w:right="283" w:hanging="0"/>
              <w:jc w:val="both"/>
              <w:rPr/>
            </w:pPr>
            <w:r>
              <w:rPr>
                <w:rStyle w:val="Style13"/>
                <w:color w:val="auto"/>
                <w:sz w:val="24"/>
                <w:szCs w:val="24"/>
                <w:u w:val="none"/>
                <w:lang w:val="uk-UA" w:bidi="ar-SA"/>
              </w:rPr>
              <w:t>Знання</w:t>
            </w:r>
            <w:r>
              <w:rPr>
                <w:rStyle w:val="Style13"/>
                <w:sz w:val="24"/>
                <w:szCs w:val="24"/>
                <w:lang w:val="uk-UA" w:bidi="ar-SA"/>
              </w:rPr>
              <w:t>:</w:t>
            </w:r>
          </w:p>
          <w:p>
            <w:pPr>
              <w:pStyle w:val="Normal"/>
              <w:widowControl w:val="false"/>
              <w:spacing w:before="0" w:after="0"/>
              <w:ind w:left="283" w:right="283" w:hanging="0"/>
              <w:jc w:val="both"/>
              <w:rPr/>
            </w:pP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Конституції України</w:t>
            </w: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;</w:t>
            </w:r>
          </w:p>
          <w:p>
            <w:pPr>
              <w:pStyle w:val="Normal"/>
              <w:widowControl w:val="false"/>
              <w:spacing w:before="0" w:after="0"/>
              <w:ind w:left="283" w:right="283" w:hanging="0"/>
              <w:jc w:val="both"/>
              <w:rPr/>
            </w:pPr>
            <w:r>
              <w:rPr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 “</w:t>
            </w:r>
            <w:r>
              <w:rPr>
                <w:rFonts w:cs="Times New Roman"/>
                <w:color w:val="auto"/>
                <w:sz w:val="24"/>
                <w:szCs w:val="24"/>
                <w:u w:val="none"/>
                <w:lang w:val="uk-UA" w:bidi="ar-SA"/>
              </w:rPr>
              <w:t xml:space="preserve">Про державну службу”; </w:t>
              <w:br/>
            </w:r>
            <w:r>
              <w:rPr>
                <w:rStyle w:val="Style13"/>
                <w:rFonts w:cs="Times New Roman"/>
                <w:color w:val="000000"/>
                <w:sz w:val="24"/>
                <w:szCs w:val="24"/>
                <w:u w:val="none"/>
                <w:lang w:val="uk-UA" w:bidi="ar-SA"/>
              </w:rPr>
              <w:t>Закону України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t xml:space="preserve"> “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uk-UA" w:bidi="ar-SA"/>
              </w:rPr>
              <w:t>Про запобігання корупції”</w:t>
            </w:r>
            <w:r>
              <w:rPr>
                <w:rFonts w:cs="Times New Roman"/>
                <w:sz w:val="24"/>
                <w:szCs w:val="24"/>
                <w:lang w:val="uk-UA" w:bidi="ar-SA"/>
              </w:rPr>
              <w:br/>
            </w: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та іншого законодавства.</w:t>
            </w:r>
          </w:p>
        </w:tc>
      </w:tr>
      <w:tr>
        <w:trPr/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bidi="ar-SA"/>
              </w:rPr>
              <w:t>2.</w:t>
            </w:r>
          </w:p>
        </w:tc>
        <w:tc>
          <w:tcPr>
            <w:tcW w:w="30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spacing w:lineRule="auto" w:line="240" w:before="0" w:after="20"/>
              <w:ind w:left="118" w:hanging="0"/>
              <w:rPr>
                <w:rFonts w:ascii="Times New Roman" w:hAnsi="Times New Roman" w:eastAsia="Times New Roman" w:cs="Times New Roman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Знання законодавства у сфері</w:t>
            </w:r>
          </w:p>
        </w:tc>
        <w:tc>
          <w:tcPr>
            <w:tcW w:w="631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Знання: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Закону України «Про публічні закупівлі»;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Закону України «Про відкритість використання публічних коштів»;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Цивільного кодексу України;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Цивільно процесуального кодексу України;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Господарського кодексу України;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Господарсько-процесуального кодексу України;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522" w:leader="none"/>
              </w:tabs>
              <w:spacing w:lineRule="auto" w:line="240" w:before="0" w:after="0"/>
              <w:ind w:left="283" w:right="283" w:hanging="0"/>
              <w:jc w:val="both"/>
              <w:rPr/>
            </w:pPr>
            <w:r>
              <w:rPr>
                <w:rFonts w:eastAsia="Times New Roman" w:cs="Times New Roman"/>
                <w:sz w:val="24"/>
                <w:szCs w:val="24"/>
                <w:lang w:val="uk-UA" w:eastAsia="zh-CN" w:bidi="ar-SA"/>
              </w:rPr>
              <w:t>Закону України «Про загальнообов’язкове державне пенсійне страхування»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701" w:right="567" w:header="737" w:top="1429" w:footer="737" w:bottom="86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Noto Sans Symbols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Antiqua">
    <w:altName w:val="Arial Narrow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zh-CN" w:bidi="ar-SA"/>
    </w:rPr>
  </w:style>
  <w:style w:type="paragraph" w:styleId="2">
    <w:name w:val="Heading 2"/>
    <w:basedOn w:val="Style16"/>
    <w:next w:val="Style17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Normal"/>
    <w:next w:val="Style17"/>
    <w:qFormat/>
    <w:pPr>
      <w:numPr>
        <w:ilvl w:val="2"/>
        <w:numId w:val="1"/>
      </w:numPr>
      <w:spacing w:before="280" w:after="280"/>
      <w:outlineLvl w:val="2"/>
    </w:pPr>
    <w:rPr>
      <w:b/>
      <w:b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OpenSymbol;Arial Unicode MS" w:hAnsi="OpenSymbol;Arial Unicode MS" w:eastAsia="Times New Roman" w:cs="OpenSymbol;Arial Unicode MS"/>
      <w:color w:val="000000"/>
      <w:sz w:val="24"/>
      <w:szCs w:val="24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Noto Sans Symbols" w:hAnsi="Noto Sans Symbols" w:cs="Noto Sans Symbols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12">
    <w:name w:val="WW-WW8Num1ztrue12"/>
    <w:qFormat/>
    <w:rPr/>
  </w:style>
  <w:style w:type="character" w:styleId="WWWW8Num1ztrue123">
    <w:name w:val="WW-WW8Num1ztrue123"/>
    <w:qFormat/>
    <w:rPr/>
  </w:style>
  <w:style w:type="character" w:styleId="WWWW8Num1ztrue1234">
    <w:name w:val="WW-WW8Num1ztrue1234"/>
    <w:qFormat/>
    <w:rPr/>
  </w:style>
  <w:style w:type="character" w:styleId="WWWW8Num1ztrue12345">
    <w:name w:val="WW-WW8Num1ztrue12345"/>
    <w:qFormat/>
    <w:rPr/>
  </w:style>
  <w:style w:type="character" w:styleId="WWWW8Num1ztrue123456">
    <w:name w:val="WW-WW8Num1ztrue123456"/>
    <w:qFormat/>
    <w:rPr/>
  </w:style>
  <w:style w:type="character" w:styleId="WWWW8Num1ztrue1234567">
    <w:name w:val="WW-WW8Num1ztrue1234567"/>
    <w:qFormat/>
    <w:rPr/>
  </w:style>
  <w:style w:type="character" w:styleId="WWWW8Num1ztrue111">
    <w:name w:val="WW-WW8Num1ztrue111"/>
    <w:qFormat/>
    <w:rPr/>
  </w:style>
  <w:style w:type="character" w:styleId="WWWW8Num1ztrue121">
    <w:name w:val="WW-WW8Num1ztrue121"/>
    <w:qFormat/>
    <w:rPr/>
  </w:style>
  <w:style w:type="character" w:styleId="WWWW8Num1ztrue1231">
    <w:name w:val="WW-WW8Num1ztrue1231"/>
    <w:qFormat/>
    <w:rPr/>
  </w:style>
  <w:style w:type="character" w:styleId="WWWW8Num1ztrue12341">
    <w:name w:val="WW-WW8Num1ztrue12341"/>
    <w:qFormat/>
    <w:rPr/>
  </w:style>
  <w:style w:type="character" w:styleId="WWWW8Num1ztrue123451">
    <w:name w:val="WW-WW8Num1ztrue123451"/>
    <w:qFormat/>
    <w:rPr/>
  </w:style>
  <w:style w:type="character" w:styleId="WWWW8Num1ztrue1234561">
    <w:name w:val="WW-WW8Num1ztrue1234561"/>
    <w:qFormat/>
    <w:rPr/>
  </w:style>
  <w:style w:type="character" w:styleId="WWWW8Num1ztrue12345671">
    <w:name w:val="WW-WW8Num1ztrue12345671"/>
    <w:qFormat/>
    <w:rPr/>
  </w:style>
  <w:style w:type="character" w:styleId="WWWW8Num1ztrue1111">
    <w:name w:val="WW-WW8Num1ztrue1111"/>
    <w:qFormat/>
    <w:rPr/>
  </w:style>
  <w:style w:type="character" w:styleId="WWWW8Num1ztrue1211">
    <w:name w:val="WW-WW8Num1ztrue1211"/>
    <w:qFormat/>
    <w:rPr/>
  </w:style>
  <w:style w:type="character" w:styleId="WWWW8Num1ztrue12311">
    <w:name w:val="WW-WW8Num1ztrue12311"/>
    <w:qFormat/>
    <w:rPr/>
  </w:style>
  <w:style w:type="character" w:styleId="WWWW8Num1ztrue123411">
    <w:name w:val="WW-WW8Num1ztrue123411"/>
    <w:qFormat/>
    <w:rPr/>
  </w:style>
  <w:style w:type="character" w:styleId="WWWW8Num1ztrue1234511">
    <w:name w:val="WW-WW8Num1ztrue1234511"/>
    <w:qFormat/>
    <w:rPr/>
  </w:style>
  <w:style w:type="character" w:styleId="WWWW8Num1ztrue12345611">
    <w:name w:val="WW-WW8Num1ztrue12345611"/>
    <w:qFormat/>
    <w:rPr/>
  </w:style>
  <w:style w:type="character" w:styleId="WWWW8Num1ztrue123456711">
    <w:name w:val="WW-WW8Num1ztrue123456711"/>
    <w:qFormat/>
    <w:rPr/>
  </w:style>
  <w:style w:type="character" w:styleId="WWWW8Num1ztrue11111">
    <w:name w:val="WW-WW8Num1ztrue11111"/>
    <w:qFormat/>
    <w:rPr/>
  </w:style>
  <w:style w:type="character" w:styleId="WWWW8Num1ztrue12111">
    <w:name w:val="WW-WW8Num1ztrue12111"/>
    <w:qFormat/>
    <w:rPr/>
  </w:style>
  <w:style w:type="character" w:styleId="WWWW8Num1ztrue123111">
    <w:name w:val="WW-WW8Num1ztrue123111"/>
    <w:qFormat/>
    <w:rPr/>
  </w:style>
  <w:style w:type="character" w:styleId="WWWW8Num1ztrue1234111">
    <w:name w:val="WW-WW8Num1ztrue1234111"/>
    <w:qFormat/>
    <w:rPr/>
  </w:style>
  <w:style w:type="character" w:styleId="WWWW8Num1ztrue12345111">
    <w:name w:val="WW-WW8Num1ztrue12345111"/>
    <w:qFormat/>
    <w:rPr/>
  </w:style>
  <w:style w:type="character" w:styleId="WWWW8Num1ztrue123456111">
    <w:name w:val="WW-WW8Num1ztrue123456111"/>
    <w:qFormat/>
    <w:rPr/>
  </w:style>
  <w:style w:type="character" w:styleId="Style12">
    <w:name w:val="Основной шрифт абзаца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sz w:val="26"/>
      <w:szCs w:val="26"/>
    </w:rPr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31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eastAsia="TimesNewRomanPSMT;Arial Unicode MS"/>
    </w:rPr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/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/>
  </w:style>
  <w:style w:type="character" w:styleId="WW8Num13z1">
    <w:name w:val="WW8Num13z1"/>
    <w:qFormat/>
    <w:rPr/>
  </w:style>
  <w:style w:type="character" w:styleId="WW8Num13z2">
    <w:name w:val="WW8Num13z2"/>
    <w:qFormat/>
    <w:rPr/>
  </w:style>
  <w:style w:type="character" w:styleId="WW8Num13z3">
    <w:name w:val="WW8Num13z3"/>
    <w:qFormat/>
    <w:rPr/>
  </w:style>
  <w:style w:type="character" w:styleId="WW8Num13z4">
    <w:name w:val="WW8Num13z4"/>
    <w:qFormat/>
    <w:rPr/>
  </w:style>
  <w:style w:type="character" w:styleId="WW8Num13z5">
    <w:name w:val="WW8Num13z5"/>
    <w:qFormat/>
    <w:rPr/>
  </w:style>
  <w:style w:type="character" w:styleId="WW8Num13z6">
    <w:name w:val="WW8Num13z6"/>
    <w:qFormat/>
    <w:rPr/>
  </w:style>
  <w:style w:type="character" w:styleId="WW8Num13z7">
    <w:name w:val="WW8Num13z7"/>
    <w:qFormat/>
    <w:rPr/>
  </w:style>
  <w:style w:type="character" w:styleId="WW8Num13z8">
    <w:name w:val="WW8Num13z8"/>
    <w:qFormat/>
    <w:rPr/>
  </w:style>
  <w:style w:type="character" w:styleId="WW8Num14z0">
    <w:name w:val="WW8Num14z0"/>
    <w:qFormat/>
    <w:rPr/>
  </w:style>
  <w:style w:type="character" w:styleId="WW8Num14z1">
    <w:name w:val="WW8Num14z1"/>
    <w:qFormat/>
    <w:rPr>
      <w:rFonts w:ascii="Times New Roman" w:hAnsi="Times New Roman" w:eastAsia="Times New Roman" w:cs="Times New Roman"/>
    </w:rPr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1">
    <w:name w:val="Основной шрифт абзаца1"/>
    <w:qFormat/>
    <w:rPr/>
  </w:style>
  <w:style w:type="character" w:styleId="Rvts15">
    <w:name w:val="rvts15"/>
    <w:basedOn w:val="1"/>
    <w:qFormat/>
    <w:rPr/>
  </w:style>
  <w:style w:type="character" w:styleId="Style13">
    <w:name w:val="Гіперпосилання"/>
    <w:basedOn w:val="1"/>
    <w:qFormat/>
    <w:rPr>
      <w:color w:val="0000FF"/>
      <w:u w:val="single"/>
    </w:rPr>
  </w:style>
  <w:style w:type="character" w:styleId="Style14">
    <w:name w:val="Номер сторінки"/>
    <w:basedOn w:val="1"/>
    <w:qFormat/>
    <w:rPr/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Appleconvertedspace">
    <w:name w:val="apple-converted-space"/>
    <w:basedOn w:val="1"/>
    <w:qFormat/>
    <w:rPr/>
  </w:style>
  <w:style w:type="character" w:styleId="Rvts9">
    <w:name w:val="rvts9"/>
    <w:qFormat/>
    <w:rPr/>
  </w:style>
  <w:style w:type="character" w:styleId="11">
    <w:name w:val="Знак примечания1"/>
    <w:basedOn w:val="1"/>
    <w:qFormat/>
    <w:rPr>
      <w:sz w:val="16"/>
      <w:szCs w:val="16"/>
    </w:rPr>
  </w:style>
  <w:style w:type="character" w:styleId="FontStyle13">
    <w:name w:val="Font Style13"/>
    <w:basedOn w:val="1"/>
    <w:qFormat/>
    <w:rPr>
      <w:rFonts w:ascii="Times New Roman" w:hAnsi="Times New Roman" w:cs="Times New Roman"/>
      <w:sz w:val="26"/>
      <w:szCs w:val="26"/>
    </w:rPr>
  </w:style>
  <w:style w:type="character" w:styleId="SubtitleChar">
    <w:name w:val="Subtitle Char"/>
    <w:basedOn w:val="1"/>
    <w:qFormat/>
    <w:rPr>
      <w:rFonts w:eastAsia="Calibri"/>
      <w:b/>
      <w:bCs/>
      <w:sz w:val="28"/>
      <w:szCs w:val="28"/>
      <w:lang w:val="uk-UA" w:bidi="ar-SA"/>
    </w:rPr>
  </w:style>
  <w:style w:type="character" w:styleId="FontStyle11">
    <w:name w:val="Font Style11"/>
    <w:basedOn w:val="1"/>
    <w:qFormat/>
    <w:rPr>
      <w:rFonts w:ascii="Times New Roman" w:hAnsi="Times New Roman" w:cs="Times New Roman"/>
      <w:sz w:val="26"/>
      <w:szCs w:val="26"/>
    </w:rPr>
  </w:style>
  <w:style w:type="character" w:styleId="12">
    <w:name w:val="Текст Знак Знак Знак Знак Знак1"/>
    <w:basedOn w:val="1"/>
    <w:qFormat/>
    <w:rPr>
      <w:rFonts w:ascii="Courier New" w:hAnsi="Courier New" w:cs="Courier New"/>
      <w:lang w:val="ru-RU" w:bidi="ar-SA"/>
    </w:rPr>
  </w:style>
  <w:style w:type="character" w:styleId="13">
    <w:name w:val="Текст Знак Знак Знак Знак1"/>
    <w:basedOn w:val="1"/>
    <w:qFormat/>
    <w:rPr>
      <w:rFonts w:ascii="Courier New" w:hAnsi="Courier New" w:cs="Courier New"/>
      <w:lang w:val="uk-UA"/>
    </w:rPr>
  </w:style>
  <w:style w:type="character" w:styleId="FontStyle26">
    <w:name w:val="Font Style26"/>
    <w:basedOn w:val="1"/>
    <w:qFormat/>
    <w:rPr>
      <w:rFonts w:ascii="Times New Roman" w:hAnsi="Times New Roman" w:cs="Times New Roman"/>
      <w:sz w:val="24"/>
      <w:szCs w:val="24"/>
    </w:rPr>
  </w:style>
  <w:style w:type="character" w:styleId="Style15">
    <w:name w:val="Основний текст_"/>
    <w:basedOn w:val="1"/>
    <w:qFormat/>
    <w:rPr>
      <w:sz w:val="15"/>
      <w:szCs w:val="15"/>
      <w:lang w:bidi="ar-SA"/>
    </w:rPr>
  </w:style>
  <w:style w:type="character" w:styleId="112">
    <w:name w:val="Основний текст + 112"/>
    <w:basedOn w:val="Style15"/>
    <w:qFormat/>
    <w:rPr>
      <w:spacing w:val="6"/>
      <w:sz w:val="23"/>
      <w:szCs w:val="23"/>
    </w:rPr>
  </w:style>
  <w:style w:type="character" w:styleId="111">
    <w:name w:val="Основний текст + 111"/>
    <w:basedOn w:val="Style15"/>
    <w:qFormat/>
    <w:rPr>
      <w:rFonts w:ascii="Times New Roman" w:hAnsi="Times New Roman" w:cs="Times New Roman"/>
      <w:spacing w:val="5"/>
      <w:sz w:val="23"/>
      <w:szCs w:val="23"/>
      <w:u w:val="none"/>
    </w:rPr>
  </w:style>
  <w:style w:type="character" w:styleId="Rvts0">
    <w:name w:val="rvts0"/>
    <w:basedOn w:val="1"/>
    <w:qFormat/>
    <w:rPr/>
  </w:style>
  <w:style w:type="character" w:styleId="11pt">
    <w:name w:val="Основний текст + 11 pt"/>
    <w:basedOn w:val="Style15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2"/>
      <w:u w:val="none"/>
    </w:rPr>
  </w:style>
  <w:style w:type="character" w:styleId="DefaultParagraphFont">
    <w:name w:val="Default Paragraph Font"/>
    <w:qFormat/>
    <w:rPr/>
  </w:style>
  <w:style w:type="character" w:styleId="Heading4Char">
    <w:name w:val="Heading 4 Char"/>
    <w:basedOn w:val="DefaultParagraphFont"/>
    <w:qFormat/>
    <w:rPr>
      <w:rFonts w:ascii="Calibri" w:hAnsi="Calibri" w:cs="Times New Roman"/>
      <w:b/>
      <w:bCs/>
      <w:sz w:val="28"/>
      <w:szCs w:val="28"/>
      <w:lang w:val="uk-UA"/>
    </w:rPr>
  </w:style>
  <w:style w:type="paragraph" w:styleId="Style16">
    <w:name w:val="Заголовок"/>
    <w:basedOn w:val="Normal"/>
    <w:next w:val="Style17"/>
    <w:qFormat/>
    <w:pPr>
      <w:jc w:val="center"/>
    </w:pPr>
    <w:rPr>
      <w:rFonts w:ascii="Tahoma" w:hAnsi="Tahoma" w:cs="Tahoma"/>
      <w:szCs w:val="20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sz w:val="24"/>
    </w:rPr>
  </w:style>
  <w:style w:type="paragraph" w:styleId="Style21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2">
    <w:name w:val="Указатель3"/>
    <w:basedOn w:val="Normal"/>
    <w:qFormat/>
    <w:pPr>
      <w:suppressLineNumbers/>
    </w:pPr>
    <w:rPr>
      <w:rFonts w:cs="Arial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Arial"/>
    </w:rPr>
  </w:style>
  <w:style w:type="paragraph" w:styleId="23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Arial"/>
    </w:rPr>
  </w:style>
  <w:style w:type="paragraph" w:styleId="Rvps7">
    <w:name w:val="rvps7"/>
    <w:basedOn w:val="Normal"/>
    <w:qFormat/>
    <w:pPr>
      <w:spacing w:before="280" w:after="280"/>
    </w:pPr>
    <w:rPr/>
  </w:style>
  <w:style w:type="paragraph" w:styleId="Rvps14">
    <w:name w:val="rvps14"/>
    <w:basedOn w:val="Normal"/>
    <w:qFormat/>
    <w:pPr>
      <w:spacing w:before="280" w:after="28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paragraph" w:styleId="Rvps2">
    <w:name w:val="rvps2"/>
    <w:basedOn w:val="Normal"/>
    <w:qFormat/>
    <w:pPr>
      <w:spacing w:before="280" w:after="280"/>
    </w:pPr>
    <w:rPr/>
  </w:style>
  <w:style w:type="paragraph" w:styleId="211">
    <w:name w:val="Знак Знак Знак2 Знак Знак Знак1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3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212">
    <w:name w:val=" Знак Знак Знак2 Знак Знак Знак1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7">
    <w:name w:val="Body Text Indent"/>
    <w:basedOn w:val="Normal"/>
    <w:pPr>
      <w:ind w:left="0" w:right="0" w:firstLine="851"/>
      <w:jc w:val="both"/>
    </w:pPr>
    <w:rPr>
      <w:szCs w:val="20"/>
    </w:rPr>
  </w:style>
  <w:style w:type="paragraph" w:styleId="Style28">
    <w:name w:val="Нормальний текст"/>
    <w:basedOn w:val="Normal"/>
    <w:qFormat/>
    <w:pPr>
      <w:spacing w:before="120" w:after="0"/>
      <w:ind w:left="0" w:right="0" w:firstLine="567"/>
      <w:jc w:val="both"/>
    </w:pPr>
    <w:rPr>
      <w:rFonts w:ascii="Antiqua;Arial Narrow" w:hAnsi="Antiqua;Arial Narrow" w:cs="Antiqua;Arial Narrow"/>
      <w:sz w:val="26"/>
      <w:szCs w:val="26"/>
      <w:lang w:val="uk-UA"/>
    </w:rPr>
  </w:style>
  <w:style w:type="paragraph" w:styleId="LONormal">
    <w:name w:val="LO-Normal"/>
    <w:qFormat/>
    <w:pPr>
      <w:widowControl w:val="false"/>
      <w:suppressAutoHyphens w:val="true"/>
      <w:overflowPunct w:val="fals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Style2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0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>
    <w:name w:val="Вміст таблиці"/>
    <w:basedOn w:val="Normal"/>
    <w:qFormat/>
    <w:pPr>
      <w:widowControl w:val="false"/>
      <w:suppressLineNumbers/>
    </w:pPr>
    <w:rPr/>
  </w:style>
  <w:style w:type="paragraph" w:styleId="221">
    <w:name w:val="Основной текст с отступом 22"/>
    <w:basedOn w:val="Normal"/>
    <w:qFormat/>
    <w:pPr>
      <w:spacing w:lineRule="auto" w:line="480" w:before="0" w:after="120"/>
      <w:ind w:left="283" w:right="0" w:hanging="0"/>
    </w:pPr>
    <w:rPr/>
  </w:style>
  <w:style w:type="paragraph" w:styleId="311">
    <w:name w:val="Основной текст с отступом 31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213">
    <w:name w:val="Основной текст с отступом 21"/>
    <w:basedOn w:val="Normal"/>
    <w:qFormat/>
    <w:pPr>
      <w:spacing w:lineRule="auto" w:line="480" w:before="0" w:after="120"/>
      <w:ind w:left="283" w:right="0" w:hanging="0"/>
    </w:pPr>
    <w:rPr/>
  </w:style>
  <w:style w:type="paragraph" w:styleId="Style32">
    <w:name w:val="Абзац списка"/>
    <w:basedOn w:val="Normal"/>
    <w:qFormat/>
    <w:pPr>
      <w:spacing w:lineRule="auto" w:line="276" w:before="0" w:after="200"/>
      <w:ind w:left="720" w:right="0" w:hanging="0"/>
      <w:contextualSpacing/>
    </w:pPr>
    <w:rPr>
      <w:rFonts w:ascii="Calibri" w:hAnsi="Calibri" w:eastAsia="Calibri" w:cs="Calibri"/>
      <w:sz w:val="22"/>
      <w:szCs w:val="22"/>
    </w:rPr>
  </w:style>
  <w:style w:type="paragraph" w:styleId="Style33">
    <w:name w:val="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15">
    <w:name w:val="Текст1"/>
    <w:basedOn w:val="23"/>
    <w:qFormat/>
    <w:pPr/>
    <w:rPr/>
  </w:style>
  <w:style w:type="paragraph" w:styleId="WW">
    <w:name w:val="WW-Текст"/>
    <w:basedOn w:val="Normal"/>
    <w:qFormat/>
    <w:pPr/>
    <w:rPr>
      <w:rFonts w:ascii="Courier New" w:hAnsi="Courier New" w:cs="Courier New"/>
      <w:sz w:val="20"/>
      <w:szCs w:val="20"/>
    </w:rPr>
  </w:style>
  <w:style w:type="paragraph" w:styleId="222">
    <w:name w:val="Основной текст 22"/>
    <w:basedOn w:val="Normal"/>
    <w:qFormat/>
    <w:pPr>
      <w:jc w:val="both"/>
    </w:pPr>
    <w:rPr>
      <w:i/>
      <w:iCs/>
      <w:sz w:val="28"/>
      <w:szCs w:val="28"/>
      <w:lang w:val="uk-UA"/>
    </w:rPr>
  </w:style>
  <w:style w:type="paragraph" w:styleId="Style81">
    <w:name w:val="Style8"/>
    <w:basedOn w:val="Normal"/>
    <w:qFormat/>
    <w:pPr>
      <w:widowControl w:val="false"/>
      <w:spacing w:lineRule="exact" w:line="326"/>
      <w:ind w:left="0" w:right="0" w:firstLine="552"/>
      <w:jc w:val="both"/>
    </w:pPr>
    <w:rPr/>
  </w:style>
  <w:style w:type="paragraph" w:styleId="Style34">
    <w:name w:val="Subtitle"/>
    <w:basedOn w:val="Normal"/>
    <w:next w:val="Style17"/>
    <w:qFormat/>
    <w:pPr>
      <w:jc w:val="center"/>
    </w:pPr>
    <w:rPr>
      <w:rFonts w:eastAsia="Calibri"/>
      <w:b/>
      <w:bCs/>
      <w:sz w:val="28"/>
      <w:szCs w:val="28"/>
      <w:lang w:val="uk-UA"/>
    </w:rPr>
  </w:style>
  <w:style w:type="paragraph" w:styleId="214">
    <w:name w:val="Основной текст 21"/>
    <w:basedOn w:val="Normal"/>
    <w:qFormat/>
    <w:pPr>
      <w:suppressAutoHyphens w:val="true"/>
      <w:jc w:val="both"/>
    </w:pPr>
    <w:rPr>
      <w:b/>
      <w:bCs/>
      <w:lang w:val="uk-UA"/>
    </w:rPr>
  </w:style>
  <w:style w:type="paragraph" w:styleId="16">
    <w:name w:val="Основний текст1"/>
    <w:basedOn w:val="Normal"/>
    <w:qFormat/>
    <w:pPr>
      <w:widowControl w:val="false"/>
      <w:shd w:val="clear" w:fill="FFFFFF"/>
      <w:spacing w:lineRule="exact" w:line="432" w:before="240" w:after="0"/>
      <w:jc w:val="both"/>
    </w:pPr>
    <w:rPr>
      <w:sz w:val="15"/>
      <w:szCs w:val="15"/>
      <w:lang w:val="uk-UA" w:eastAsia="uk-UA"/>
    </w:rPr>
  </w:style>
  <w:style w:type="paragraph" w:styleId="17">
    <w:name w:val="Название объекта1"/>
    <w:basedOn w:val="Normal"/>
    <w:next w:val="Normal"/>
    <w:qFormat/>
    <w:pPr>
      <w:jc w:val="center"/>
    </w:pPr>
    <w:rPr>
      <w:b/>
      <w:bCs/>
    </w:rPr>
  </w:style>
  <w:style w:type="paragraph" w:styleId="Style35">
    <w:name w:val="Обычный (веб)"/>
    <w:basedOn w:val="Normal"/>
    <w:qFormat/>
    <w:pPr>
      <w:spacing w:before="280" w:after="280"/>
    </w:pPr>
    <w:rPr/>
  </w:style>
  <w:style w:type="paragraph" w:styleId="Style36">
    <w:name w:val="Содержимое таблицы"/>
    <w:basedOn w:val="Normal"/>
    <w:qFormat/>
    <w:pPr>
      <w:suppressLineNumbers/>
    </w:pPr>
    <w:rPr/>
  </w:style>
  <w:style w:type="paragraph" w:styleId="Style37">
    <w:name w:val="Заголовок таблицы"/>
    <w:basedOn w:val="Style36"/>
    <w:qFormat/>
    <w:pPr>
      <w:suppressLineNumbers/>
      <w:jc w:val="center"/>
    </w:pPr>
    <w:rPr>
      <w:b/>
      <w:bCs/>
    </w:rPr>
  </w:style>
  <w:style w:type="paragraph" w:styleId="Style38">
    <w:name w:val="Содержимое врезки"/>
    <w:basedOn w:val="Normal"/>
    <w:qFormat/>
    <w:pPr/>
    <w:rPr/>
  </w:style>
  <w:style w:type="paragraph" w:styleId="CharCharCharChar">
    <w:name w:val="Char Знак Знак Char Знак Знак Char Знак Знак Char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231">
    <w:name w:val="Основной текст 23"/>
    <w:basedOn w:val="Normal"/>
    <w:qFormat/>
    <w:pPr>
      <w:jc w:val="both"/>
    </w:pPr>
    <w:rPr>
      <w:i/>
      <w:iCs/>
      <w:sz w:val="28"/>
      <w:szCs w:val="28"/>
      <w:lang w:val="uk-UA"/>
    </w:rPr>
  </w:style>
  <w:style w:type="paragraph" w:styleId="24">
    <w:name w:val="Текст2"/>
    <w:basedOn w:val="33"/>
    <w:qFormat/>
    <w:pPr/>
    <w:rPr/>
  </w:style>
  <w:style w:type="paragraph" w:styleId="321">
    <w:name w:val="Основной текст с отступом 32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232">
    <w:name w:val="Основной текст с отступом 23"/>
    <w:basedOn w:val="Normal"/>
    <w:qFormat/>
    <w:pPr>
      <w:spacing w:lineRule="auto" w:line="480" w:before="0" w:after="120"/>
      <w:ind w:left="283" w:right="0" w:hanging="0"/>
    </w:pPr>
    <w:rPr/>
  </w:style>
  <w:style w:type="paragraph" w:styleId="LONormal1">
    <w:name w:val="LO-Normal1"/>
    <w:qFormat/>
    <w:pPr>
      <w:widowControl w:val="false"/>
      <w:suppressAutoHyphens w:val="true"/>
      <w:overflowPunct w:val="false"/>
      <w:bidi w:val="0"/>
      <w:spacing w:lineRule="auto" w:line="252" w:before="0" w:after="0"/>
      <w:ind w:left="0" w:right="0" w:firstLine="720"/>
      <w:jc w:val="both"/>
    </w:pPr>
    <w:rPr>
      <w:rFonts w:ascii="Times New Roman" w:hAnsi="Times New Roman" w:eastAsia="Times New Roman" w:cs="Times New Roman"/>
      <w:color w:val="auto"/>
      <w:kern w:val="2"/>
      <w:sz w:val="28"/>
      <w:szCs w:val="20"/>
      <w:lang w:val="uk-UA" w:eastAsia="zh-CN" w:bidi="ar-SA"/>
    </w:rPr>
  </w:style>
  <w:style w:type="paragraph" w:styleId="Content">
    <w:name w:val="content"/>
    <w:basedOn w:val="Normal"/>
    <w:qFormat/>
    <w:pPr>
      <w:suppressAutoHyphens w:val="false"/>
      <w:spacing w:lineRule="atLeast" w:line="162" w:before="100" w:after="100"/>
      <w:ind w:left="0" w:right="0" w:firstLine="360"/>
      <w:jc w:val="both"/>
    </w:pPr>
    <w:rPr>
      <w:rFonts w:ascii="Verdana" w:hAnsi="Verdana" w:cs="Verdana"/>
      <w:kern w:val="2"/>
      <w:sz w:val="20"/>
      <w:szCs w:val="20"/>
      <w:lang w:val="uk-UA"/>
    </w:rPr>
  </w:style>
  <w:style w:type="paragraph" w:styleId="WW1">
    <w:name w:val="WW-Основний текст"/>
    <w:basedOn w:val="Normal"/>
    <w:qFormat/>
    <w:pPr>
      <w:shd w:val="clear" w:fill="FFFFFF"/>
      <w:spacing w:lineRule="auto" w:line="240" w:before="0" w:after="0"/>
    </w:pPr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sz w:val="20"/>
      <w:u w:val="none"/>
    </w:rPr>
  </w:style>
  <w:style w:type="paragraph" w:styleId="Style39">
    <w:name w:val="Заголовок таблиці"/>
    <w:basedOn w:val="Style31"/>
    <w:qFormat/>
    <w:pPr>
      <w:suppressLineNumbers/>
      <w:jc w:val="center"/>
    </w:pPr>
    <w:rPr>
      <w:b/>
      <w:bCs/>
    </w:rPr>
  </w:style>
  <w:style w:type="paragraph" w:styleId="121">
    <w:name w:val="Основной + 12 пт"/>
    <w:basedOn w:val="Normal"/>
    <w:qFormat/>
    <w:pPr>
      <w:suppressAutoHyphens w:val="false"/>
      <w:spacing w:before="0" w:after="0"/>
      <w:jc w:val="both"/>
    </w:pPr>
    <w:rPr>
      <w:rFonts w:ascii="Times New Roman" w:hAnsi="Times New Roman" w:cs="Times New Roman"/>
      <w:sz w:val="24"/>
      <w:szCs w:val="24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Application>LibreOffice/6.3.3.2$Windows_x86 LibreOffice_project/a64200df03143b798afd1ec74a12ab50359878ed</Application>
  <Pages>4</Pages>
  <Words>1039</Words>
  <Characters>7251</Characters>
  <CharactersWithSpaces>8291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ponomarenko</dc:creator>
  <dc:description/>
  <dc:language>uk-UA</dc:language>
  <cp:lastModifiedBy/>
  <dcterms:modified xsi:type="dcterms:W3CDTF">2021-06-30T09:02:50Z</dcterms:modified>
  <cp:revision>101</cp:revision>
  <dc:subject/>
  <dc:title>Додаток 1 </dc:title>
</cp:coreProperties>
</file>