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7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372"/>
        <w:gridCol w:w="4264"/>
      </w:tblGrid>
      <w:tr>
        <w:trPr/>
        <w:tc>
          <w:tcPr>
            <w:tcW w:w="5372" w:type="dxa"/>
            <w:tcBorders/>
            <w:shd w:fill="auto" w:val="clear"/>
          </w:tcPr>
          <w:p>
            <w:pPr>
              <w:pStyle w:val="Style29"/>
              <w:widowControl w:val="false"/>
              <w:snapToGrid w:val="false"/>
              <w:spacing w:before="0" w:after="0"/>
              <w:rPr>
                <w:lang w:val="uk-UA" w:bidi="ar-SA"/>
              </w:rPr>
            </w:pPr>
            <w:r>
              <w:rPr>
                <w:lang w:val="uk-UA" w:bidi="ar-SA"/>
              </w:rPr>
            </w:r>
          </w:p>
        </w:tc>
        <w:tc>
          <w:tcPr>
            <w:tcW w:w="4264" w:type="dxa"/>
            <w:tcBorders/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2800" w:leader="none"/>
                <w:tab w:val="right" w:pos="4141" w:leader="none"/>
              </w:tabs>
              <w:spacing w:before="0" w:after="0"/>
              <w:ind w:left="328" w:right="0" w:hanging="0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  <w:t>ЗАТВЕРДЖЕНО</w:t>
            </w:r>
          </w:p>
          <w:p>
            <w:pPr>
              <w:pStyle w:val="LONormal"/>
              <w:widowControl w:val="false"/>
              <w:spacing w:before="0" w:after="0"/>
              <w:ind w:left="328" w:right="0" w:hanging="0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</w:r>
          </w:p>
          <w:p>
            <w:pPr>
              <w:pStyle w:val="LONormal"/>
              <w:widowControl w:val="false"/>
              <w:spacing w:before="0" w:after="0"/>
              <w:ind w:left="328" w:right="0" w:hanging="0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  <w:t>Наказ Головного управління</w:t>
            </w:r>
          </w:p>
          <w:p>
            <w:pPr>
              <w:pStyle w:val="LONormal"/>
              <w:widowControl w:val="false"/>
              <w:spacing w:before="0" w:after="0"/>
              <w:ind w:left="328" w:right="0" w:hanging="0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  <w:t>Пенсійного фонду України</w:t>
            </w:r>
          </w:p>
          <w:p>
            <w:pPr>
              <w:pStyle w:val="LONormal"/>
              <w:widowControl w:val="false"/>
              <w:spacing w:before="0" w:after="0"/>
              <w:ind w:left="328" w:right="0" w:hanging="0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  <w:t>в Дніпропетровській області</w:t>
            </w:r>
          </w:p>
          <w:p>
            <w:pPr>
              <w:pStyle w:val="Normal"/>
              <w:widowControl w:val="false"/>
              <w:spacing w:before="0" w:after="0"/>
              <w:ind w:right="0" w:hanging="0"/>
              <w:jc w:val="left"/>
              <w:rPr/>
            </w:pP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u w:val="none"/>
                <w:lang w:val="uk-UA" w:eastAsia="zh-CN" w:bidi="ar-SA"/>
              </w:rPr>
              <w:t xml:space="preserve">      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u w:val="single"/>
                <w:lang w:val="uk-UA" w:eastAsia="zh-CN" w:bidi="ar-SA"/>
              </w:rPr>
              <w:t xml:space="preserve">                    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u w:val="none"/>
                <w:lang w:val="uk-UA" w:eastAsia="zh-CN" w:bidi="ar-SA"/>
              </w:rPr>
              <w:t xml:space="preserve">  №  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u w:val="single"/>
                <w:lang w:val="uk-UA" w:eastAsia="zh-CN" w:bidi="ar-SA"/>
              </w:rPr>
              <w:t xml:space="preserve">          </w:t>
            </w:r>
          </w:p>
        </w:tc>
      </w:tr>
    </w:tbl>
    <w:p>
      <w:pPr>
        <w:pStyle w:val="Normal"/>
        <w:jc w:val="center"/>
        <w:rPr>
          <w:lang w:val="uk-UA" w:bidi="ar-SA"/>
        </w:rPr>
      </w:pPr>
      <w:r>
        <w:rPr>
          <w:lang w:val="uk-UA" w:bidi="ar-SA"/>
        </w:rPr>
      </w:r>
      <w:bookmarkStart w:id="0" w:name="n195"/>
      <w:bookmarkStart w:id="1" w:name="n195"/>
      <w:bookmarkEnd w:id="1"/>
    </w:p>
    <w:p>
      <w:pPr>
        <w:pStyle w:val="Normal"/>
        <w:jc w:val="center"/>
        <w:rPr/>
      </w:pPr>
      <w:r>
        <w:rPr>
          <w:rStyle w:val="Rvts15"/>
          <w:lang w:val="uk-UA" w:bidi="ar-SA"/>
        </w:rPr>
        <w:t xml:space="preserve">Умови </w:t>
      </w:r>
    </w:p>
    <w:p>
      <w:pPr>
        <w:pStyle w:val="Normal"/>
        <w:jc w:val="center"/>
        <w:rPr/>
      </w:pPr>
      <w:r>
        <w:rPr>
          <w:rStyle w:val="Rvts15"/>
          <w:lang w:val="uk-UA" w:bidi="ar-SA"/>
        </w:rPr>
        <w:t xml:space="preserve">проведення конкурсу на зайняття вакантної посади державної служби </w:t>
      </w:r>
    </w:p>
    <w:p>
      <w:pPr>
        <w:pStyle w:val="Normal"/>
        <w:jc w:val="center"/>
        <w:rPr/>
      </w:pPr>
      <w:r>
        <w:rPr>
          <w:rStyle w:val="Rvts15"/>
          <w:lang w:val="uk-UA" w:bidi="ar-SA"/>
        </w:rPr>
        <w:t>категорії «В» –  г</w:t>
      </w:r>
      <w:r>
        <w:rPr>
          <w:rStyle w:val="Rvts15"/>
          <w:b w:val="false"/>
          <w:bCs w:val="false"/>
          <w:iCs/>
          <w:color w:val="000000"/>
          <w:sz w:val="24"/>
          <w:szCs w:val="24"/>
          <w:lang w:val="uk-UA" w:bidi="ar-SA"/>
        </w:rPr>
        <w:t>оловного спеціаліста</w:t>
      </w:r>
      <w:r>
        <w:rPr>
          <w:rStyle w:val="Rvts15"/>
          <w:b w:val="false"/>
          <w:bCs w:val="false"/>
          <w:color w:val="000000"/>
          <w:sz w:val="24"/>
          <w:szCs w:val="24"/>
          <w:lang w:val="uk-UA" w:bidi="ar-SA"/>
        </w:rPr>
        <w:t xml:space="preserve"> </w:t>
      </w:r>
      <w:r>
        <w:rPr>
          <w:rStyle w:val="Rvts15"/>
          <w:rFonts w:eastAsia="NSimSun" w:cs="Arial" w:ascii="TimesNewRoman" w:hAnsi="TimesNewRoman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sz w:val="24"/>
          <w:szCs w:val="24"/>
          <w:u w:val="none"/>
          <w:em w:val="none"/>
          <w:lang w:val="uk-UA" w:eastAsia="zh-CN" w:bidi="hi-IN"/>
        </w:rPr>
        <w:t>відділу перерахунків пенсій № 3 управління пенсійного забезпечення</w:t>
      </w:r>
    </w:p>
    <w:p>
      <w:pPr>
        <w:pStyle w:val="Normal"/>
        <w:jc w:val="center"/>
        <w:rPr>
          <w:sz w:val="24"/>
          <w:szCs w:val="24"/>
          <w:lang w:val="uk-UA" w:bidi="ar-SA"/>
        </w:rPr>
      </w:pPr>
      <w:r>
        <w:rPr>
          <w:sz w:val="24"/>
          <w:szCs w:val="24"/>
          <w:lang w:val="uk-UA" w:bidi="ar-SA"/>
        </w:rPr>
        <w:t xml:space="preserve">Головного управління Пенсійного фонду України в Дніпропетровській області </w:t>
      </w:r>
    </w:p>
    <w:p>
      <w:pPr>
        <w:pStyle w:val="Normal"/>
        <w:jc w:val="center"/>
        <w:rPr/>
      </w:pPr>
      <w:r>
        <w:rPr>
          <w:sz w:val="24"/>
          <w:szCs w:val="24"/>
          <w:lang w:val="uk-UA" w:bidi="ar-SA"/>
        </w:rPr>
        <w:t>(</w:t>
      </w:r>
      <w:r>
        <w:rPr>
          <w:bCs/>
          <w:sz w:val="24"/>
          <w:szCs w:val="24"/>
          <w:lang w:val="uk-UA" w:bidi="ar-SA"/>
        </w:rPr>
        <w:t>місцезнаходження віддаленого робочого місця</w:t>
      </w:r>
      <w:r>
        <w:rPr>
          <w:sz w:val="24"/>
          <w:szCs w:val="24"/>
          <w:lang w:val="uk-UA" w:bidi="ar-SA"/>
        </w:rPr>
        <w:t>:</w:t>
      </w:r>
      <w:r>
        <w:rPr>
          <w:rFonts w:ascii="TimesNewRoman" w:hAnsi="TimesNewRoman"/>
          <w:b w:val="false"/>
          <w:i w:val="false"/>
          <w:color w:val="000000"/>
          <w:sz w:val="24"/>
          <w:szCs w:val="24"/>
          <w:lang w:val="uk-UA" w:bidi="ar-SA"/>
        </w:rPr>
        <w:t xml:space="preserve"> м. Кривий Ріг, вул. Ватутіна, буд. 37В</w:t>
      </w:r>
      <w:r>
        <w:rPr>
          <w:sz w:val="24"/>
          <w:szCs w:val="24"/>
          <w:lang w:val="uk-UA" w:bidi="ar-SA"/>
        </w:rPr>
        <w:t>)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030" w:type="dxa"/>
        <w:jc w:val="left"/>
        <w:tblInd w:w="-296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9"/>
        <w:gridCol w:w="3395"/>
        <w:gridCol w:w="3"/>
        <w:gridCol w:w="6293"/>
      </w:tblGrid>
      <w:tr>
        <w:trPr>
          <w:trHeight w:val="135" w:hRule="atLeast"/>
        </w:trPr>
        <w:tc>
          <w:tcPr>
            <w:tcW w:w="10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ONormal"/>
              <w:widowControl w:val="false"/>
              <w:spacing w:before="0" w:after="0"/>
              <w:jc w:val="center"/>
              <w:rPr>
                <w:b/>
                <w:b/>
                <w:lang w:val="uk-UA" w:bidi="ar-SA"/>
              </w:rPr>
            </w:pPr>
            <w:bookmarkStart w:id="2" w:name="n196"/>
            <w:bookmarkEnd w:id="2"/>
            <w:r>
              <w:rPr>
                <w:b/>
                <w:lang w:val="uk-UA" w:bidi="ar-SA"/>
              </w:rPr>
              <w:t>Загальні умови</w:t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0" w:right="151" w:firstLine="18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Посадові обов’язки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hd w:val="clear" w:fill="FFFFFF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rFonts w:cs="Times New Roman"/>
                <w:sz w:val="24"/>
                <w:szCs w:val="24"/>
                <w:lang w:val="uk-UA" w:eastAsia="zh-CN" w:bidi="ar-SA"/>
              </w:rPr>
              <w:t>1. Здійснювати згідно з вимогами законодавства та у визначенні терміни відпрацювання перерахунків пенсій відповідно до статті 42 Закону України “Про загальнообов’язкове державне пенсійне страхування; працевлаштування (звільнення); подовження виплати пенсій у разі втрати годувальника та по інвалідності; переведення виплати пенсії за новим місцем проживання (перебування)</w:t>
            </w:r>
            <w:r>
              <w:rPr>
                <w:rFonts w:cs="Times New Roman"/>
                <w:spacing w:val="0"/>
                <w:sz w:val="24"/>
                <w:szCs w:val="24"/>
                <w:lang w:val="uk-UA" w:eastAsia="zh-CN" w:bidi="ar-SA"/>
              </w:rPr>
              <w:t>.</w:t>
            </w:r>
          </w:p>
          <w:p>
            <w:pPr>
              <w:pStyle w:val="Normal"/>
              <w:widowControl w:val="false"/>
              <w:shd w:val="clear" w:fill="FFFFFF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rFonts w:cs="Times New Roman"/>
                <w:sz w:val="24"/>
                <w:szCs w:val="24"/>
                <w:lang w:val="uk-UA" w:eastAsia="zh-CN" w:bidi="ar-SA"/>
              </w:rPr>
              <w:t xml:space="preserve">2. </w:t>
            </w:r>
            <w:r>
              <w:rPr>
                <w:rFonts w:cs="Times New Roman"/>
                <w:spacing w:val="0"/>
                <w:sz w:val="24"/>
                <w:szCs w:val="24"/>
                <w:lang w:val="uk-UA" w:eastAsia="zh-CN" w:bidi="ar-SA"/>
              </w:rPr>
              <w:t>Здійснювати відпрацювання кандидатів на індивідуально-масовий перерахунок, за результатом проведеного моніторингу працюючих пенсіонерів, рекомендацій Міністерства фінансів, проводити верифікацію електронних пенсійних справ (4 етап), електронних трудових книжок. В разі необхідності розробляти проекти рішень про призначення та рішення про відмову у призначенні пенсій, щомісячного довічного грошового утримання суддів у відставці та пенсій за особливі заслуги перед Україною, а також виконувати інші доручення начальника відділу</w:t>
            </w:r>
            <w:r>
              <w:rPr>
                <w:rFonts w:eastAsia="Times New Roman" w:cs="Times New Roman"/>
                <w:spacing w:val="0"/>
                <w:sz w:val="24"/>
                <w:szCs w:val="24"/>
                <w:lang w:val="uk-UA" w:eastAsia="zh-CN" w:bidi="ar-SA"/>
              </w:rPr>
              <w:t xml:space="preserve"> та управління.</w:t>
            </w:r>
          </w:p>
          <w:p>
            <w:pPr>
              <w:pStyle w:val="Normal"/>
              <w:widowControl w:val="false"/>
              <w:shd w:val="clear" w:fill="FFFFFF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rFonts w:eastAsia="Times New Roman" w:cs="Times New Roman"/>
                <w:spacing w:val="0"/>
                <w:sz w:val="24"/>
                <w:szCs w:val="24"/>
                <w:lang w:val="uk-UA" w:eastAsia="zh-CN" w:bidi="ar-SA"/>
              </w:rPr>
              <w:t xml:space="preserve">3. Проводити правову оцінку документів, визначати правові підстави для перерахунків пенсій, щомісячного довічного грошового утримання суддів у відставці та призначення пенсій за особливі заслуги перед Україною. Розробляти проекти рішень про </w:t>
            </w:r>
            <w:r>
              <w:rPr>
                <w:rFonts w:eastAsia="Calibri" w:cs="Times New Roman"/>
                <w:color w:val="auto"/>
                <w:spacing w:val="0"/>
                <w:sz w:val="24"/>
                <w:szCs w:val="24"/>
                <w:lang w:val="uk-UA" w:eastAsia="zh-CN" w:bidi="ar-SA"/>
              </w:rPr>
              <w:t>перерахунок</w:t>
            </w:r>
            <w:r>
              <w:rPr>
                <w:rFonts w:eastAsia="Times New Roman" w:cs="Times New Roman"/>
                <w:spacing w:val="0"/>
                <w:sz w:val="24"/>
                <w:szCs w:val="24"/>
                <w:lang w:val="uk-UA" w:eastAsia="zh-CN" w:bidi="ar-SA"/>
              </w:rPr>
              <w:t xml:space="preserve"> або про відмову у перерахунку пенсій, щомісячного довічного грошового утримання суддів у відставці та пенсій за особливі заслуги перед Україною. </w:t>
            </w:r>
          </w:p>
          <w:p>
            <w:pPr>
              <w:pStyle w:val="Normal"/>
              <w:widowControl w:val="false"/>
              <w:shd w:val="clear" w:fill="FFFFFF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rFonts w:cs="Times New Roman"/>
                <w:sz w:val="24"/>
                <w:szCs w:val="24"/>
                <w:lang w:val="uk-UA" w:eastAsia="zh-CN" w:bidi="ar-SA"/>
              </w:rPr>
              <w:t xml:space="preserve">4. </w:t>
            </w:r>
            <w:r>
              <w:rPr>
                <w:rFonts w:cs="Times New Roman"/>
                <w:spacing w:val="0"/>
                <w:sz w:val="24"/>
                <w:szCs w:val="24"/>
                <w:lang w:val="uk-UA" w:eastAsia="zh-CN" w:bidi="ar-SA"/>
              </w:rPr>
              <w:t>Забезпечувати формування бази даних у програмному комплексі “Підсистема призначення та виплати пенсій» (ППВП); нести персональну відповідальність за внесення інформації в централізовану підсистему ППВП при відпрацюванні  документів.</w:t>
            </w:r>
          </w:p>
          <w:p>
            <w:pPr>
              <w:pStyle w:val="Normal"/>
              <w:widowControl w:val="false"/>
              <w:shd w:val="clear" w:fill="FFFFFF"/>
              <w:spacing w:before="0" w:after="0"/>
              <w:ind w:left="283" w:right="283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 w:bidi="ar-SA"/>
              </w:rPr>
            </w:pPr>
            <w:r>
              <w:rPr>
                <w:rFonts w:cs="Times New Roman"/>
                <w:sz w:val="24"/>
                <w:szCs w:val="24"/>
                <w:lang w:val="uk-UA" w:eastAsia="zh-CN" w:bidi="ar-SA"/>
              </w:rPr>
              <w:t>5. Забезпечувати разом з іншими структурними підрозділами Головного управління виконання вимог законодавства про запобігання корупції; дотримання законодавства про інформацію та доступ до публічної інформації та персональних даних.</w:t>
            </w:r>
          </w:p>
          <w:p>
            <w:pPr>
              <w:pStyle w:val="Normal"/>
              <w:widowControl w:val="false"/>
              <w:shd w:val="clear" w:fill="FFFFFF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rFonts w:cs="Times New Roman"/>
                <w:sz w:val="24"/>
                <w:szCs w:val="24"/>
                <w:lang w:val="uk-UA" w:eastAsia="zh-CN" w:bidi="ar-SA"/>
              </w:rPr>
              <w:t xml:space="preserve">6. </w:t>
            </w:r>
            <w:r>
              <w:rPr>
                <w:rFonts w:cs="Times New Roman"/>
                <w:spacing w:val="0"/>
                <w:sz w:val="24"/>
                <w:szCs w:val="24"/>
                <w:lang w:val="uk-UA" w:eastAsia="zh-CN" w:bidi="ar-SA"/>
              </w:rPr>
              <w:t>Ініціювати проведення перевірок обґрунтованості видачі довідок про заробітну плату, наданих для перерахунку пенсій  відповідно до законодавства. Здійснювати розрахунок пенсій за результатом проведених зустрічних перевірок довідок про стаж та заробітну плату.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hd w:val="clear" w:fill="FFFFFF"/>
              <w:spacing w:before="0" w:after="0"/>
              <w:ind w:left="283" w:right="283" w:hanging="0"/>
              <w:jc w:val="both"/>
              <w:rPr/>
            </w:pPr>
            <w:r>
              <w:rPr>
                <w:rStyle w:val="Bodytext"/>
                <w:rFonts w:cs="Times New Roman"/>
                <w:spacing w:val="0"/>
                <w:sz w:val="24"/>
                <w:szCs w:val="24"/>
                <w:lang w:val="uk-UA" w:eastAsia="zh-CN" w:bidi="ar-SA"/>
              </w:rPr>
              <w:t>7. Дотримуватись вимог законодавства по забезпеченню нерозголошення та збереження відповідної інформації, яка стала відомою під час виконання службових обов’язків, а також іншої інформації, яка згідно з чинним  законодавством не підлягає розголошенню, запобігати не санкційованому її використанню.</w:t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80" w:right="151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Умови оплати праці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  <w:t>Посадовий оклад – 5500 грн.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  <w:t>Надбавка за ранг державного службовця — від 200 до 500 грн.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lang w:val="uk-UA" w:eastAsia="zh-CN" w:bidi="ar-SA"/>
              </w:rPr>
              <w:t>Надбавка за вислугу років — 3 відсотки посадового окладу державного службовця за кожний календарний рік стажу державної служби, але не більше 50 відсотків посадового окладу;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lang w:val="uk-UA" w:bidi="ar-SA"/>
              </w:rPr>
              <w:t xml:space="preserve">Надбавки, доплати та премії відповідно до статті 52 Закону України </w:t>
            </w:r>
            <w:r>
              <w:rPr>
                <w:rStyle w:val="Rvts15"/>
                <w:rFonts w:cs="Times New Roman"/>
                <w:lang w:val="uk-UA" w:bidi="ar-SA"/>
              </w:rPr>
              <w:t>“</w:t>
            </w:r>
            <w:r>
              <w:rPr>
                <w:rFonts w:cs="Times New Roman"/>
                <w:lang w:val="uk-UA" w:bidi="ar-SA"/>
              </w:rPr>
              <w:t>Про державну службу” (зі змінами)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80" w:right="151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238" w:right="170" w:hanging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Безстрокове</w:t>
            </w:r>
          </w:p>
          <w:p>
            <w:pPr>
              <w:pStyle w:val="15"/>
              <w:widowControl w:val="false"/>
              <w:spacing w:before="0" w:after="0"/>
              <w:ind w:left="238" w:right="17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</w:r>
          </w:p>
          <w:p>
            <w:pPr>
              <w:pStyle w:val="Rvps14"/>
              <w:widowControl w:val="false"/>
              <w:spacing w:before="0" w:after="0"/>
              <w:ind w:left="238" w:right="170" w:hanging="0"/>
              <w:jc w:val="both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строк призначення особи, яка досягла 65-річного віку, становить один рік з правом повторного призначення без обов’язкового проведення конкурсу щороку</w:t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80" w:right="151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ru-RU" w:bidi="ar-SA"/>
              </w:rPr>
              <w:t>Особа, яка бажає взяти участь у конкурсі, подає через Єдиний портал вакансій державної служби  (career.gov.ua) таку інформацію: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1. Заява про участь у конкурсі із зазначенням основних мотивів щодо зайняття посади за формою згідно з                додатком 2 до Порядку проведення конкурсу на зайняття посад державної служби.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hanging="0"/>
              <w:jc w:val="both"/>
              <w:rPr/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2. Резюме за формою згідно з додатком 2</w:t>
            </w:r>
            <w:r>
              <w:rPr>
                <w:rFonts w:cs="Times New Roman"/>
                <w:sz w:val="24"/>
                <w:szCs w:val="24"/>
                <w:vertAlign w:val="superscript"/>
                <w:lang w:val="uk-UA" w:bidi="ar-SA"/>
              </w:rPr>
              <w:t>1</w:t>
            </w:r>
            <w:r>
              <w:rPr>
                <w:rFonts w:cs="Times New Roman"/>
                <w:sz w:val="24"/>
                <w:szCs w:val="24"/>
                <w:lang w:val="uk-UA" w:bidi="ar-SA"/>
              </w:rPr>
              <w:t xml:space="preserve"> до Порядку проведення конкурсу на зайняття посад державної служби, в якому обов’язково зазначається така інформація: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firstLine="51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прізвище, ім’я, по батькові кандидата;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firstLine="51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firstLine="51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підтвердження наявності відповідного ступеня вищої освіти;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firstLine="51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підтвердження рівня вільного володіння державною мовою;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45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83" w:right="113" w:firstLine="510"/>
              <w:jc w:val="both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bidi="ar-S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3. Заява, в якій особа повідомляє, що до неї не застосовуються заборони, визначені частиною третьою або четвертою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Подача додатків до заяви не є обов’язковою.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eastAsia="ru-RU" w:bidi="ar-SA"/>
              </w:rPr>
              <w:t>На електронні документи, що подаються для участі у конкурсі, накладається кваліфікований електронний підпис кандидата.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ru-RU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ru-RU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lang w:val="uk-UA" w:bidi="ar-SA"/>
              </w:rPr>
              <w:t>Строк подання інформації до 17 год. 00 хв.</w:t>
            </w:r>
            <w:r>
              <w:rPr>
                <w:rFonts w:cs="Times New Roman"/>
                <w:lang w:val="en-US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08</w:t>
            </w:r>
            <w:r>
              <w:rPr>
                <w:rFonts w:cs="Times New Roman"/>
                <w:lang w:val="uk-UA" w:bidi="ar-SA"/>
              </w:rPr>
              <w:t xml:space="preserve"> липня </w:t>
            </w:r>
            <w:r>
              <w:rPr>
                <w:rFonts w:cs="Times New Roman"/>
                <w:color w:val="000000"/>
                <w:lang w:val="uk-UA" w:bidi="ar-SA"/>
              </w:rPr>
              <w:t>2021 року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cs="Times New Roman"/>
                <w:color w:val="000000"/>
                <w:lang w:val="uk-UA" w:bidi="ar-SA"/>
              </w:rPr>
            </w:pPr>
            <w:r>
              <w:rPr>
                <w:rFonts w:cs="Times New Roman"/>
                <w:color w:val="000000"/>
                <w:lang w:val="uk-UA" w:bidi="ar-SA"/>
              </w:rPr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212" w:right="160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Додаткові (необов’язкові) документи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  <w:p>
            <w:pPr>
              <w:pStyle w:val="Style30"/>
              <w:widowControl w:val="false"/>
              <w:spacing w:before="0" w:after="0"/>
              <w:ind w:left="236" w:right="167" w:hanging="0"/>
              <w:jc w:val="both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 w:ascii="Times New Roman" w:hAnsi="Times New Roman"/>
                <w:lang w:val="uk-UA" w:bidi="ar-SA"/>
              </w:rPr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Дата і час початку проведення тестування кандидатів.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Місце або спосіб проведення тестування.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lang w:val="uk-UA" w:eastAsia="zh-CN" w:bidi="ar-SA"/>
              </w:rPr>
              <w:t>12</w:t>
            </w:r>
            <w:r>
              <w:rPr>
                <w:rFonts w:cs="Times New Roman"/>
                <w:lang w:val="uk-UA" w:eastAsia="zh-CN" w:bidi="ar-SA"/>
              </w:rPr>
              <w:t xml:space="preserve"> липня 2021 року о 10 год. 00 хв.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  <w:t>м. Дніпро, вул. Набережна Перемоги, 26, (проведення тестування за фізичної присутності кандидатів)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  <w:t>м. Дніпро, вул. Набережна Перемоги, 26, (проведення співбесіди за фізичної присутності кандидатів)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</w:r>
          </w:p>
          <w:p>
            <w:pPr>
              <w:pStyle w:val="Normal"/>
              <w:widowControl w:val="false"/>
              <w:spacing w:before="0" w:after="0"/>
              <w:ind w:left="238" w:right="170" w:hanging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uk-UA" w:eastAsia="en-US" w:bidi="ar-SA"/>
              </w:rPr>
            </w:pPr>
            <w:r>
              <w:rPr>
                <w:rFonts w:eastAsia="Calibri" w:cs="Times New Roman"/>
                <w:sz w:val="24"/>
                <w:szCs w:val="24"/>
                <w:lang w:val="uk-UA" w:eastAsia="en-US" w:bidi="ar-SA"/>
              </w:rPr>
              <w:t>Кандидатам при собі необхідно мати паспорт громадянина України або інший документ, який посвідчує особу та підтверджує громадянство України</w:t>
            </w:r>
          </w:p>
          <w:p>
            <w:pPr>
              <w:pStyle w:val="Normal"/>
              <w:widowControl w:val="false"/>
              <w:spacing w:before="0" w:after="0"/>
              <w:ind w:left="238" w:right="170" w:hanging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val="uk-UA" w:eastAsia="en-US" w:bidi="ar-SA"/>
              </w:rPr>
            </w:pPr>
            <w:r>
              <w:rPr>
                <w:rFonts w:eastAsia="Calibri" w:cs="Times New Roman"/>
                <w:sz w:val="24"/>
                <w:szCs w:val="24"/>
                <w:lang w:val="uk-UA" w:eastAsia="en-US" w:bidi="ar-SA"/>
              </w:rPr>
            </w:r>
          </w:p>
        </w:tc>
      </w:tr>
      <w:tr>
        <w:trPr/>
        <w:tc>
          <w:tcPr>
            <w:tcW w:w="373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2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27" w:right="11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</w:r>
          </w:p>
        </w:tc>
        <w:tc>
          <w:tcPr>
            <w:tcW w:w="6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lang w:val="uk-UA" w:eastAsia="zh-CN" w:bidi="ar-SA"/>
              </w:rPr>
            </w:pPr>
            <w:r>
              <w:rPr>
                <w:rFonts w:cs="Times New Roman"/>
                <w:lang w:val="uk-UA" w:eastAsia="zh-CN" w:bidi="ar-SA"/>
              </w:rPr>
              <w:t>м. Дніпро, вул. Набережна Перемоги, 26, (проведення співбесіди за фізичної присутності кандидатів)</w:t>
            </w:r>
          </w:p>
        </w:tc>
      </w:tr>
      <w:tr>
        <w:trPr/>
        <w:tc>
          <w:tcPr>
            <w:tcW w:w="3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80" w:right="151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  <w:p>
            <w:pPr>
              <w:pStyle w:val="Style29"/>
              <w:widowControl w:val="false"/>
              <w:spacing w:before="0" w:after="0"/>
              <w:ind w:left="180" w:right="151" w:hanging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Юрченко Юлія Олегівна</w:t>
            </w:r>
          </w:p>
          <w:p>
            <w:pPr>
              <w:pStyle w:val="Normal"/>
              <w:widowControl w:val="false"/>
              <w:ind w:left="238" w:right="170" w:hanging="0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067-885-90-10,</w:t>
            </w:r>
          </w:p>
          <w:p>
            <w:pPr>
              <w:pStyle w:val="Normal"/>
              <w:widowControl w:val="false"/>
              <w:ind w:left="238" w:right="170" w:hanging="0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040702@dp.pfu.gov.ua</w:t>
            </w:r>
          </w:p>
          <w:p>
            <w:pPr>
              <w:pStyle w:val="Style29"/>
              <w:widowControl w:val="false"/>
              <w:spacing w:before="0" w:after="0"/>
              <w:ind w:left="179" w:right="164" w:hanging="0"/>
              <w:rPr>
                <w:rFonts w:ascii="Times New Roman" w:hAnsi="Times New Roman" w:cs="Times New Roman"/>
                <w:b/>
                <w:b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lang w:val="uk-UA" w:bidi="ar-SA"/>
              </w:rPr>
            </w:r>
          </w:p>
          <w:p>
            <w:pPr>
              <w:pStyle w:val="Style29"/>
              <w:widowControl w:val="false"/>
              <w:spacing w:before="0" w:after="0"/>
              <w:ind w:left="179" w:right="164" w:hanging="0"/>
              <w:rPr>
                <w:rFonts w:ascii="Times New Roman" w:hAnsi="Times New Roman" w:cs="Times New Roman"/>
                <w:b/>
                <w:b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lang w:val="uk-UA" w:bidi="ar-SA"/>
              </w:rPr>
            </w:r>
          </w:p>
        </w:tc>
      </w:tr>
      <w:tr>
        <w:trPr/>
        <w:tc>
          <w:tcPr>
            <w:tcW w:w="10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spacing w:before="0" w:after="0"/>
              <w:ind w:left="0" w:right="-196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uk-UA" w:bidi="ar-SA"/>
              </w:rPr>
              <w:t>Кваліфікаційні вимоги</w:t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1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53" w:right="164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Освіта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hd w:val="clear" w:fill="FFFFFF"/>
              <w:spacing w:lineRule="atLeast" w:line="240"/>
              <w:ind w:left="238" w:right="170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вища освіта не нижче бакалавра, молодшого бакалавра</w:t>
            </w:r>
          </w:p>
          <w:p>
            <w:pPr>
              <w:pStyle w:val="Normal"/>
              <w:widowControl w:val="false"/>
              <w:shd w:val="clear" w:fill="FFFFFF"/>
              <w:spacing w:lineRule="atLeast" w:line="240"/>
              <w:ind w:left="238" w:right="170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2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53" w:right="164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Досвід роботи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  <w:lang w:val="uk-UA"/>
              </w:rPr>
            </w:pPr>
            <w:r>
              <w:rPr>
                <w:rFonts w:cs="Times New Roman"/>
                <w:sz w:val="24"/>
                <w:szCs w:val="24"/>
                <w:highlight w:val="white"/>
                <w:lang w:val="uk-UA"/>
              </w:rPr>
              <w:t>не потребує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highlight w:val="white"/>
                <w:lang w:val="uk-UA" w:bidi="ar-SA"/>
              </w:rPr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3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spacing w:before="0" w:after="0"/>
              <w:ind w:left="153" w:right="164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Володіння державною мовою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rPr>
                <w:rFonts w:ascii="Times New Roman" w:hAnsi="Times New Roman" w:cs="Times New Roman"/>
                <w:lang w:val="uk-UA" w:bidi="ar-SA"/>
              </w:rPr>
            </w:pPr>
            <w:r>
              <w:rPr>
                <w:rFonts w:cs="Times New Roman"/>
                <w:lang w:val="uk-UA" w:bidi="ar-SA"/>
              </w:rPr>
              <w:t>вільне володіння державною мовою</w:t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16"/>
              <w:widowControl w:val="false"/>
              <w:shd w:val="clear" w:fill="FFFFFF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</w:r>
          </w:p>
        </w:tc>
        <w:tc>
          <w:tcPr>
            <w:tcW w:w="9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35"/>
              <w:widowControl w:val="false"/>
              <w:ind w:left="164" w:right="165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uk-UA" w:bidi="ar-SA"/>
              </w:rPr>
              <w:t>Вимоги до компетентності</w:t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16"/>
              <w:widowControl w:val="false"/>
              <w:shd w:val="clear" w:fill="FFFFFF"/>
              <w:snapToGrid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lang w:val="uk-UA" w:bidi="ar-SA"/>
              </w:rPr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uk-UA" w:bidi="ar-SA"/>
              </w:rPr>
              <w:t>Вимоги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lang w:val="uk-UA" w:bidi="ar-SA"/>
              </w:rPr>
            </w:pPr>
            <w:r>
              <w:rPr>
                <w:rFonts w:cs="Times New Roman"/>
                <w:b/>
                <w:lang w:val="uk-UA" w:bidi="ar-SA"/>
              </w:rPr>
              <w:t>Компоненти вимоги</w:t>
            </w:r>
          </w:p>
        </w:tc>
      </w:tr>
      <w:tr>
        <w:trPr>
          <w:trHeight w:val="269" w:hRule="atLeast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1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ind w:left="283" w:right="283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Якісне виконання поставлених завдань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hd w:val="clear" w:fill="auto"/>
              <w:tabs>
                <w:tab w:val="clear" w:pos="720"/>
                <w:tab w:val="left" w:pos="384" w:leader="none"/>
              </w:tabs>
              <w:suppressAutoHyphens w:val="true"/>
              <w:bidi w:val="0"/>
              <w:spacing w:lineRule="auto" w:line="252" w:before="0" w:after="0"/>
              <w:ind w:left="1003" w:right="283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чітке і точне формулювання мети, цілей і завдань службової діяльності;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hd w:val="clear" w:fill="auto"/>
              <w:tabs>
                <w:tab w:val="clear" w:pos="720"/>
                <w:tab w:val="left" w:pos="398" w:leader="none"/>
              </w:tabs>
              <w:suppressAutoHyphens w:val="true"/>
              <w:bidi w:val="0"/>
              <w:spacing w:lineRule="auto" w:line="252" w:before="0" w:after="0"/>
              <w:ind w:left="1003" w:right="283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комплексний підхід до виконання завдань, виявлення ризиків;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hd w:val="clear" w:fill="auto"/>
              <w:tabs>
                <w:tab w:val="clear" w:pos="720"/>
                <w:tab w:val="left" w:pos="420" w:leader="none"/>
              </w:tabs>
              <w:suppressAutoHyphens w:val="true"/>
              <w:bidi w:val="0"/>
              <w:spacing w:lineRule="auto" w:line="252" w:before="0" w:after="0"/>
              <w:ind w:left="1003" w:right="283" w:hanging="0"/>
              <w:jc w:val="both"/>
              <w:rPr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2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ind w:left="283" w:right="283" w:hanging="0"/>
              <w:jc w:val="left"/>
              <w:rPr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Багатозадачність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hd w:val="clear" w:fill="auto"/>
              <w:tabs>
                <w:tab w:val="clear" w:pos="720"/>
                <w:tab w:val="left" w:pos="180" w:leader="none"/>
              </w:tabs>
              <w:suppressAutoHyphens w:val="true"/>
              <w:bidi w:val="0"/>
              <w:spacing w:lineRule="auto" w:line="252" w:before="0" w:after="0"/>
              <w:ind w:left="283" w:right="283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здатність концентрувати (не втрачати) увагу на виконанні завдання;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hd w:val="clear" w:fill="auto"/>
              <w:tabs>
                <w:tab w:val="clear" w:pos="720"/>
                <w:tab w:val="left" w:pos="420" w:leader="none"/>
                <w:tab w:val="left" w:pos="1535" w:leader="none"/>
                <w:tab w:val="left" w:pos="3120" w:leader="none"/>
                <w:tab w:val="left" w:pos="4438" w:leader="none"/>
                <w:tab w:val="left" w:pos="4968" w:leader="none"/>
              </w:tabs>
              <w:suppressAutoHyphens w:val="true"/>
              <w:bidi w:val="0"/>
              <w:spacing w:lineRule="auto" w:line="252" w:before="0" w:after="0"/>
              <w:ind w:left="283" w:right="283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уміння розкладати завдання на процеси, спрощувати їх;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hd w:val="clear" w:fill="auto"/>
              <w:tabs>
                <w:tab w:val="clear" w:pos="720"/>
                <w:tab w:val="left" w:pos="267" w:leader="none"/>
              </w:tabs>
              <w:suppressAutoHyphens w:val="true"/>
              <w:bidi w:val="0"/>
              <w:spacing w:lineRule="auto" w:line="252" w:before="0" w:after="0"/>
              <w:ind w:left="283" w:right="283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здатність швидко змінювати напрям роботи (діяльності);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hd w:val="clear" w:fill="auto"/>
              <w:tabs>
                <w:tab w:val="clear" w:pos="720"/>
                <w:tab w:val="left" w:pos="265" w:leader="none"/>
              </w:tabs>
              <w:suppressAutoHyphens w:val="true"/>
              <w:bidi w:val="0"/>
              <w:spacing w:lineRule="auto" w:line="252" w:before="0" w:after="0"/>
              <w:ind w:left="283" w:right="283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уміння управляти результатом і бачити  прогрес</w:t>
            </w:r>
          </w:p>
        </w:tc>
      </w:tr>
      <w:tr>
        <w:trPr/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3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ind w:left="283" w:right="283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Відповідальність</w:t>
            </w:r>
          </w:p>
        </w:tc>
        <w:tc>
          <w:tcPr>
            <w:tcW w:w="6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257" w:leader="none"/>
                <w:tab w:val="left" w:pos="420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усвідомлення важливості якісного виконання своїх посадових обов'язків з дотриманням строків та встановлених процедур;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257" w:leader="none"/>
                <w:tab w:val="left" w:pos="420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257" w:leader="none"/>
                <w:tab w:val="left" w:pos="420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здатність брати на себе зобов’язання, чітко їх дотримуватись і виконувати</w:t>
            </w:r>
          </w:p>
        </w:tc>
      </w:tr>
      <w:tr>
        <w:trPr/>
        <w:tc>
          <w:tcPr>
            <w:tcW w:w="33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i w:val="false"/>
                <w:iCs w:val="false"/>
                <w:sz w:val="24"/>
                <w:szCs w:val="24"/>
                <w:lang w:val="uk-UA" w:bidi="ar-SA"/>
              </w:rPr>
              <w:t>4</w:t>
            </w:r>
          </w:p>
        </w:tc>
        <w:tc>
          <w:tcPr>
            <w:tcW w:w="3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ind w:left="283" w:right="283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Цифрова грамотність</w:t>
            </w:r>
          </w:p>
        </w:tc>
        <w:tc>
          <w:tcPr>
            <w:tcW w:w="62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46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- 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46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- 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46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- здатність уникати небезпек в цифровому середовищі, захищати особисті та конфіденційні дані;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46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46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- здатність використовувати відкриті цифрові ресурси для власного професійного розвитку</w:t>
            </w:r>
          </w:p>
        </w:tc>
      </w:tr>
      <w:tr>
        <w:trPr/>
        <w:tc>
          <w:tcPr>
            <w:tcW w:w="33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222"/>
              <w:widowControl w:val="false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  <w:t>5</w:t>
            </w:r>
          </w:p>
        </w:tc>
        <w:tc>
          <w:tcPr>
            <w:tcW w:w="3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ind w:left="283" w:right="283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Стресостійкість</w:t>
            </w:r>
          </w:p>
        </w:tc>
        <w:tc>
          <w:tcPr>
            <w:tcW w:w="62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346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- уміння розуміти та управляти своїми емоціями;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346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- здатність до самоконтролю;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346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- здатність до конструктивного ставлення до зворотного зв’язку, зокрема критики;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346" w:leader="none"/>
              </w:tabs>
              <w:suppressAutoHyphens w:val="true"/>
              <w:overflowPunct w:val="true"/>
              <w:bidi w:val="0"/>
              <w:spacing w:before="0" w:after="0"/>
              <w:ind w:left="283" w:right="283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- оптимізм</w:t>
            </w:r>
          </w:p>
        </w:tc>
      </w:tr>
      <w:tr>
        <w:trPr/>
        <w:tc>
          <w:tcPr>
            <w:tcW w:w="1003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LONormal"/>
              <w:widowControl w:val="false"/>
              <w:spacing w:before="0" w:after="0"/>
              <w:ind w:left="-69" w:right="165" w:hanging="0"/>
              <w:jc w:val="center"/>
              <w:rPr>
                <w:rFonts w:ascii="Times New Roman" w:hAnsi="Times New Roman" w:eastAsia="TimesNewRomanPSMT;Arial Unicode MS" w:cs="Times New Roman"/>
                <w:b/>
                <w:b/>
                <w:sz w:val="24"/>
                <w:szCs w:val="24"/>
                <w:lang w:val="uk-UA" w:bidi="ar-SA"/>
              </w:rPr>
            </w:pPr>
            <w:r>
              <w:rPr>
                <w:rFonts w:eastAsia="TimesNewRomanPSMT;Arial Unicode MS" w:cs="Times New Roman"/>
                <w:b/>
                <w:sz w:val="24"/>
                <w:szCs w:val="24"/>
                <w:lang w:val="uk-UA" w:bidi="ar-SA"/>
              </w:rPr>
              <w:t>Професійні знання</w:t>
            </w:r>
          </w:p>
        </w:tc>
      </w:tr>
      <w:tr>
        <w:trPr>
          <w:trHeight w:val="245" w:hRule="atLeast"/>
        </w:trPr>
        <w:tc>
          <w:tcPr>
            <w:tcW w:w="33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Style33"/>
              <w:widowControl w:val="false"/>
              <w:snapToGrid w:val="false"/>
              <w:spacing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uk-UA" w:bidi="ar-SA"/>
              </w:rPr>
            </w:r>
          </w:p>
        </w:tc>
        <w:tc>
          <w:tcPr>
            <w:tcW w:w="3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LO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uk-UA" w:bidi="ar-SA"/>
              </w:rPr>
              <w:t>Вимоги</w:t>
            </w:r>
          </w:p>
        </w:tc>
        <w:tc>
          <w:tcPr>
            <w:tcW w:w="62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LONormal"/>
              <w:widowControl w:val="false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uk-UA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uk-UA" w:bidi="ar-SA"/>
              </w:rPr>
              <w:t>Компоненти вимоги</w:t>
            </w:r>
          </w:p>
        </w:tc>
      </w:tr>
      <w:tr>
        <w:trPr/>
        <w:tc>
          <w:tcPr>
            <w:tcW w:w="33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LONormal"/>
              <w:widowControl w:val="false"/>
              <w:spacing w:before="0" w:after="0"/>
              <w:ind w:left="0" w:right="0" w:hanging="0"/>
              <w:jc w:val="center"/>
              <w:rPr/>
            </w:pPr>
            <w:r>
              <w:rPr>
                <w:rFonts w:cs="Times New Roman"/>
                <w:sz w:val="24"/>
                <w:szCs w:val="24"/>
                <w:lang w:val="uk-UA" w:bidi="ar-SA"/>
              </w:rPr>
              <w:t>1</w:t>
            </w:r>
          </w:p>
        </w:tc>
        <w:tc>
          <w:tcPr>
            <w:tcW w:w="3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Style29"/>
              <w:widowControl w:val="false"/>
              <w:spacing w:before="0" w:after="0"/>
              <w:ind w:left="226" w:right="206" w:hanging="0"/>
              <w:rPr>
                <w:rFonts w:ascii="Times New Roman" w:hAnsi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Знання законодавства</w:t>
            </w:r>
          </w:p>
        </w:tc>
        <w:tc>
          <w:tcPr>
            <w:tcW w:w="62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Style w:val="Style13"/>
                <w:rFonts w:cs="Times New Roman"/>
                <w:color w:val="auto"/>
                <w:u w:val="none"/>
                <w:lang w:val="uk-UA" w:bidi="ar-SA"/>
              </w:rPr>
              <w:t>Знання</w:t>
            </w:r>
            <w:r>
              <w:rPr>
                <w:rStyle w:val="Style13"/>
                <w:rFonts w:cs="Times New Roman"/>
                <w:u w:val="none"/>
                <w:lang w:val="uk-UA" w:bidi="ar-SA"/>
              </w:rPr>
              <w:t>: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Style w:val="Style13"/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Конституції України</w:t>
            </w:r>
            <w:r>
              <w:rPr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;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Закону України “</w:t>
            </w:r>
            <w:r>
              <w:rPr>
                <w:rFonts w:cs="Times New Roman"/>
                <w:color w:val="auto"/>
                <w:sz w:val="24"/>
                <w:szCs w:val="24"/>
                <w:u w:val="none"/>
                <w:lang w:val="uk-UA" w:bidi="ar-SA"/>
              </w:rPr>
              <w:t xml:space="preserve">Про державну службу”; </w:t>
              <w:br/>
            </w:r>
            <w:r>
              <w:rPr>
                <w:rStyle w:val="Style13"/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Закону України</w:t>
            </w:r>
            <w:r>
              <w:rPr>
                <w:rFonts w:cs="Times New Roman"/>
                <w:sz w:val="24"/>
                <w:szCs w:val="24"/>
                <w:lang w:val="uk-UA" w:bidi="ar-SA"/>
              </w:rPr>
              <w:t xml:space="preserve"> “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bidi="ar-SA"/>
              </w:rPr>
              <w:t>Про запобігання корупції”</w:t>
            </w:r>
            <w:r>
              <w:rPr>
                <w:rFonts w:cs="Times New Roman"/>
                <w:sz w:val="24"/>
                <w:szCs w:val="24"/>
                <w:lang w:val="uk-UA" w:bidi="ar-SA"/>
              </w:rPr>
              <w:br/>
            </w: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та іншого законодавства</w:t>
            </w:r>
          </w:p>
        </w:tc>
      </w:tr>
      <w:tr>
        <w:trPr/>
        <w:tc>
          <w:tcPr>
            <w:tcW w:w="33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spacing w:lineRule="auto" w:line="240" w:before="0" w:after="20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2</w:t>
            </w:r>
          </w:p>
        </w:tc>
        <w:tc>
          <w:tcPr>
            <w:tcW w:w="3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spacing w:lineRule="auto" w:line="240" w:before="0" w:after="20"/>
              <w:ind w:left="118" w:right="0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Знання законодавства у сфері</w:t>
            </w:r>
          </w:p>
        </w:tc>
        <w:tc>
          <w:tcPr>
            <w:tcW w:w="62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tabs>
                <w:tab w:val="clear" w:pos="720"/>
                <w:tab w:val="left" w:pos="522" w:leader="none"/>
              </w:tabs>
              <w:spacing w:lineRule="auto" w:line="240" w:before="0" w:after="20"/>
              <w:ind w:left="238" w:right="17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sz w:val="24"/>
                <w:szCs w:val="24"/>
                <w:lang w:val="uk-UA"/>
              </w:rPr>
              <w:t>Знання: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hd w:val="clear" w:fill="FFFFFF"/>
              <w:tabs>
                <w:tab w:val="clear" w:pos="720"/>
                <w:tab w:val="left" w:pos="0" w:leader="none"/>
              </w:tabs>
              <w:suppressAutoHyphens w:val="true"/>
              <w:bidi w:val="0"/>
              <w:spacing w:lineRule="auto" w:line="240" w:before="0" w:after="0"/>
              <w:ind w:left="283" w:right="283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Закону України «Про пенсійне забезпечення»;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hd w:val="clear" w:fill="FFFFFF"/>
              <w:tabs>
                <w:tab w:val="clear" w:pos="720"/>
                <w:tab w:val="left" w:pos="0" w:leader="none"/>
              </w:tabs>
              <w:suppressAutoHyphens w:val="true"/>
              <w:bidi w:val="0"/>
              <w:spacing w:lineRule="auto" w:line="240" w:before="0" w:after="0"/>
              <w:ind w:left="283" w:right="283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Закону України «Про статус і соціальний захист громадян, які постраждали внаслідок Чорнобильської катастрофи»;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hd w:val="clear" w:fill="FFFFFF"/>
              <w:tabs>
                <w:tab w:val="clear" w:pos="720"/>
                <w:tab w:val="left" w:pos="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83" w:right="283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uk-UA" w:eastAsia="zh-CN" w:bidi="ar-SA"/>
              </w:rPr>
              <w:t>Закону України «Про статус ветеранів війни, гарантії їх соціального захисту»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701" w:right="567" w:header="737" w:top="1429" w:footer="737" w:bottom="86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Courier New">
    <w:charset w:val="cc"/>
    <w:family w:val="roman"/>
    <w:pitch w:val="variable"/>
  </w:font>
  <w:font w:name="Noto Sans Symbol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Antiqua">
    <w:altName w:val="Arial Narrow"/>
    <w:charset w:val="cc"/>
    <w:family w:val="roman"/>
    <w:pitch w:val="variable"/>
  </w:font>
  <w:font w:name="Calibri">
    <w:charset w:val="cc"/>
    <w:family w:val="roman"/>
    <w:pitch w:val="variable"/>
  </w:font>
  <w:font w:name="TimesNewRoman">
    <w:charset w:val="cc"/>
    <w:family w:val="roman"/>
    <w:pitch w:val="variable"/>
  </w:font>
  <w:font w:name="OpenSymbol">
    <w:altName w:val="Arial Unicode MS"/>
    <w:charset w:val="01"/>
    <w:family w:val="auto"/>
    <w:pitch w:val="variable"/>
  </w:font>
  <w:font w:name="Courier New">
    <w:charset w:val="01"/>
    <w:family w:val="modern"/>
    <w:pitch w:val="fixed"/>
  </w:font>
  <w:font w:name="Noto Sans Symbols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81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8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311"/>
      <w:spacing w:before="0" w:after="12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311"/>
      <w:spacing w:before="0" w:after="12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sz w:val="24"/>
        <w:rFonts w:cs="Open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  <w:rFonts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rFonts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  <w:rFonts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  <w:rFonts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  <w:rFonts w:cs="Noto Sans Symbols"/>
      </w:rPr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paragraph" w:styleId="2">
    <w:name w:val="Heading 2"/>
    <w:basedOn w:val="22"/>
    <w:next w:val="14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Normal"/>
    <w:next w:val="14"/>
    <w:qFormat/>
    <w:pPr>
      <w:numPr>
        <w:ilvl w:val="2"/>
        <w:numId w:val="1"/>
      </w:numPr>
      <w:spacing w:before="280" w:after="280"/>
      <w:outlineLvl w:val="2"/>
    </w:pPr>
    <w:rPr>
      <w:b/>
      <w:b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OpenSymbol;Arial Unicode MS" w:hAnsi="OpenSymbol;Arial Unicode MS" w:eastAsia="Times New Roman" w:cs="OpenSymbol;Arial Unicode MS"/>
      <w:color w:val="000000"/>
      <w:sz w:val="24"/>
      <w:szCs w:val="24"/>
      <w:lang w:val="uk-UA" w:eastAsia="zh-CN" w:bidi="ar-S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Noto Sans Symbols" w:hAnsi="Noto Sans Symbols" w:cs="Noto Sans Symbols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12">
    <w:name w:val="WW-WW8Num1ztrue12"/>
    <w:qFormat/>
    <w:rPr/>
  </w:style>
  <w:style w:type="character" w:styleId="WWWW8Num1ztrue123">
    <w:name w:val="WW-WW8Num1ztrue123"/>
    <w:qFormat/>
    <w:rPr/>
  </w:style>
  <w:style w:type="character" w:styleId="WWWW8Num1ztrue1234">
    <w:name w:val="WW-WW8Num1ztrue1234"/>
    <w:qFormat/>
    <w:rPr/>
  </w:style>
  <w:style w:type="character" w:styleId="WWWW8Num1ztrue12345">
    <w:name w:val="WW-WW8Num1ztrue12345"/>
    <w:qFormat/>
    <w:rPr/>
  </w:style>
  <w:style w:type="character" w:styleId="WWWW8Num1ztrue123456">
    <w:name w:val="WW-WW8Num1ztrue123456"/>
    <w:qFormat/>
    <w:rPr/>
  </w:style>
  <w:style w:type="character" w:styleId="WWWW8Num1ztrue1234567">
    <w:name w:val="WW-WW8Num1ztrue1234567"/>
    <w:qFormat/>
    <w:rPr/>
  </w:style>
  <w:style w:type="character" w:styleId="WWWW8Num1ztrue111">
    <w:name w:val="WW-WW8Num1ztrue111"/>
    <w:qFormat/>
    <w:rPr/>
  </w:style>
  <w:style w:type="character" w:styleId="WWWW8Num1ztrue121">
    <w:name w:val="WW-WW8Num1ztrue121"/>
    <w:qFormat/>
    <w:rPr/>
  </w:style>
  <w:style w:type="character" w:styleId="WWWW8Num1ztrue1231">
    <w:name w:val="WW-WW8Num1ztrue1231"/>
    <w:qFormat/>
    <w:rPr/>
  </w:style>
  <w:style w:type="character" w:styleId="WWWW8Num1ztrue12341">
    <w:name w:val="WW-WW8Num1ztrue12341"/>
    <w:qFormat/>
    <w:rPr/>
  </w:style>
  <w:style w:type="character" w:styleId="WWWW8Num1ztrue123451">
    <w:name w:val="WW-WW8Num1ztrue123451"/>
    <w:qFormat/>
    <w:rPr/>
  </w:style>
  <w:style w:type="character" w:styleId="WWWW8Num1ztrue1234561">
    <w:name w:val="WW-WW8Num1ztrue1234561"/>
    <w:qFormat/>
    <w:rPr/>
  </w:style>
  <w:style w:type="character" w:styleId="WWWW8Num1ztrue12345671">
    <w:name w:val="WW-WW8Num1ztrue12345671"/>
    <w:qFormat/>
    <w:rPr/>
  </w:style>
  <w:style w:type="character" w:styleId="WWWW8Num1ztrue1111">
    <w:name w:val="WW-WW8Num1ztrue1111"/>
    <w:qFormat/>
    <w:rPr/>
  </w:style>
  <w:style w:type="character" w:styleId="WWWW8Num1ztrue1211">
    <w:name w:val="WW-WW8Num1ztrue1211"/>
    <w:qFormat/>
    <w:rPr/>
  </w:style>
  <w:style w:type="character" w:styleId="WWWW8Num1ztrue12311">
    <w:name w:val="WW-WW8Num1ztrue12311"/>
    <w:qFormat/>
    <w:rPr/>
  </w:style>
  <w:style w:type="character" w:styleId="WWWW8Num1ztrue123411">
    <w:name w:val="WW-WW8Num1ztrue123411"/>
    <w:qFormat/>
    <w:rPr/>
  </w:style>
  <w:style w:type="character" w:styleId="WWWW8Num1ztrue1234511">
    <w:name w:val="WW-WW8Num1ztrue1234511"/>
    <w:qFormat/>
    <w:rPr/>
  </w:style>
  <w:style w:type="character" w:styleId="WWWW8Num1ztrue12345611">
    <w:name w:val="WW-WW8Num1ztrue12345611"/>
    <w:qFormat/>
    <w:rPr/>
  </w:style>
  <w:style w:type="character" w:styleId="WWWW8Num1ztrue123456711">
    <w:name w:val="WW-WW8Num1ztrue123456711"/>
    <w:qFormat/>
    <w:rPr/>
  </w:style>
  <w:style w:type="character" w:styleId="WWWW8Num1ztrue11111">
    <w:name w:val="WW-WW8Num1ztrue11111"/>
    <w:qFormat/>
    <w:rPr/>
  </w:style>
  <w:style w:type="character" w:styleId="WWWW8Num1ztrue12111">
    <w:name w:val="WW-WW8Num1ztrue12111"/>
    <w:qFormat/>
    <w:rPr/>
  </w:style>
  <w:style w:type="character" w:styleId="WWWW8Num1ztrue123111">
    <w:name w:val="WW-WW8Num1ztrue123111"/>
    <w:qFormat/>
    <w:rPr/>
  </w:style>
  <w:style w:type="character" w:styleId="WWWW8Num1ztrue1234111">
    <w:name w:val="WW-WW8Num1ztrue1234111"/>
    <w:qFormat/>
    <w:rPr/>
  </w:style>
  <w:style w:type="character" w:styleId="WWWW8Num1ztrue12345111">
    <w:name w:val="WW-WW8Num1ztrue12345111"/>
    <w:qFormat/>
    <w:rPr/>
  </w:style>
  <w:style w:type="character" w:styleId="WWWW8Num1ztrue123456111">
    <w:name w:val="WW-WW8Num1ztrue123456111"/>
    <w:qFormat/>
    <w:rPr/>
  </w:style>
  <w:style w:type="character" w:styleId="Style12">
    <w:name w:val="Основной шрифт абзаца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sz w:val="26"/>
      <w:szCs w:val="26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31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eastAsia="TimesNewRomanPSMT;Arial Unicode MS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>
      <w:rFonts w:ascii="Times New Roman" w:hAnsi="Times New Roman" w:eastAsia="Times New Roman" w:cs="Times New Roman"/>
    </w:rPr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1">
    <w:name w:val="Основной шрифт абзаца1"/>
    <w:qFormat/>
    <w:rPr/>
  </w:style>
  <w:style w:type="character" w:styleId="Rvts15">
    <w:name w:val="rvts15"/>
    <w:basedOn w:val="1"/>
    <w:qFormat/>
    <w:rPr/>
  </w:style>
  <w:style w:type="character" w:styleId="Style13">
    <w:name w:val="Гіперпосилання"/>
    <w:basedOn w:val="1"/>
    <w:qFormat/>
    <w:rPr>
      <w:color w:val="0000FF"/>
      <w:u w:val="single"/>
    </w:rPr>
  </w:style>
  <w:style w:type="character" w:styleId="Style14">
    <w:name w:val="Номер сторінки"/>
    <w:basedOn w:val="1"/>
    <w:qFormat/>
    <w:rPr/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Appleconvertedspace">
    <w:name w:val="apple-converted-space"/>
    <w:basedOn w:val="1"/>
    <w:qFormat/>
    <w:rPr/>
  </w:style>
  <w:style w:type="character" w:styleId="Rvts9">
    <w:name w:val="rvts9"/>
    <w:qFormat/>
    <w:rPr/>
  </w:style>
  <w:style w:type="character" w:styleId="11">
    <w:name w:val="Знак примечания1"/>
    <w:basedOn w:val="1"/>
    <w:qFormat/>
    <w:rPr>
      <w:sz w:val="16"/>
      <w:szCs w:val="16"/>
    </w:rPr>
  </w:style>
  <w:style w:type="character" w:styleId="FontStyle13">
    <w:name w:val="Font Style13"/>
    <w:basedOn w:val="1"/>
    <w:qFormat/>
    <w:rPr>
      <w:rFonts w:ascii="Times New Roman" w:hAnsi="Times New Roman" w:cs="Times New Roman"/>
      <w:sz w:val="26"/>
      <w:szCs w:val="26"/>
    </w:rPr>
  </w:style>
  <w:style w:type="character" w:styleId="SubtitleChar">
    <w:name w:val="Subtitle Char"/>
    <w:basedOn w:val="1"/>
    <w:qFormat/>
    <w:rPr>
      <w:rFonts w:eastAsia="Calibri"/>
      <w:b/>
      <w:bCs/>
      <w:sz w:val="28"/>
      <w:szCs w:val="28"/>
      <w:lang w:val="uk-UA" w:bidi="ar-SA"/>
    </w:rPr>
  </w:style>
  <w:style w:type="character" w:styleId="FontStyle11">
    <w:name w:val="Font Style11"/>
    <w:basedOn w:val="1"/>
    <w:qFormat/>
    <w:rPr>
      <w:rFonts w:ascii="Times New Roman" w:hAnsi="Times New Roman" w:cs="Times New Roman"/>
      <w:sz w:val="26"/>
      <w:szCs w:val="26"/>
    </w:rPr>
  </w:style>
  <w:style w:type="character" w:styleId="12">
    <w:name w:val="Текст Знак Знак Знак Знак Знак1"/>
    <w:basedOn w:val="1"/>
    <w:qFormat/>
    <w:rPr>
      <w:rFonts w:ascii="Courier New" w:hAnsi="Courier New" w:cs="Courier New"/>
      <w:lang w:val="ru-RU" w:bidi="ar-SA"/>
    </w:rPr>
  </w:style>
  <w:style w:type="character" w:styleId="13">
    <w:name w:val="Текст Знак Знак Знак Знак1"/>
    <w:basedOn w:val="1"/>
    <w:qFormat/>
    <w:rPr>
      <w:rFonts w:ascii="Courier New" w:hAnsi="Courier New" w:cs="Courier New"/>
      <w:lang w:val="uk-UA"/>
    </w:rPr>
  </w:style>
  <w:style w:type="character" w:styleId="FontStyle26">
    <w:name w:val="Font Style26"/>
    <w:basedOn w:val="1"/>
    <w:qFormat/>
    <w:rPr>
      <w:rFonts w:ascii="Times New Roman" w:hAnsi="Times New Roman" w:cs="Times New Roman"/>
      <w:sz w:val="24"/>
      <w:szCs w:val="24"/>
    </w:rPr>
  </w:style>
  <w:style w:type="character" w:styleId="Style15">
    <w:name w:val="Основний текст_"/>
    <w:basedOn w:val="1"/>
    <w:qFormat/>
    <w:rPr>
      <w:sz w:val="15"/>
      <w:szCs w:val="15"/>
      <w:lang w:bidi="ar-SA"/>
    </w:rPr>
  </w:style>
  <w:style w:type="character" w:styleId="112">
    <w:name w:val="Основний текст + 112"/>
    <w:basedOn w:val="Style15"/>
    <w:qFormat/>
    <w:rPr>
      <w:spacing w:val="6"/>
      <w:sz w:val="23"/>
      <w:szCs w:val="23"/>
    </w:rPr>
  </w:style>
  <w:style w:type="character" w:styleId="111">
    <w:name w:val="Основний текст + 111"/>
    <w:basedOn w:val="Style15"/>
    <w:qFormat/>
    <w:rPr>
      <w:rFonts w:ascii="Times New Roman" w:hAnsi="Times New Roman" w:cs="Times New Roman"/>
      <w:spacing w:val="5"/>
      <w:sz w:val="23"/>
      <w:szCs w:val="23"/>
      <w:u w:val="none"/>
    </w:rPr>
  </w:style>
  <w:style w:type="character" w:styleId="Rvts0">
    <w:name w:val="rvts0"/>
    <w:basedOn w:val="1"/>
    <w:qFormat/>
    <w:rPr/>
  </w:style>
  <w:style w:type="character" w:styleId="11pt">
    <w:name w:val="Основний текст + 11 pt"/>
    <w:basedOn w:val="Style15"/>
    <w:qFormat/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sz w:val="22"/>
      <w:u w:val="none"/>
    </w:rPr>
  </w:style>
  <w:style w:type="character" w:styleId="Bodytext">
    <w:name w:val="Body text_"/>
    <w:qFormat/>
    <w:rPr>
      <w:sz w:val="26"/>
      <w:szCs w:val="26"/>
      <w:shd w:fill="FFFFFF" w:val="clear"/>
      <w:lang w:bidi="ar-SA"/>
    </w:rPr>
  </w:style>
  <w:style w:type="character" w:styleId="Style16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paragraph" w:styleId="Style17">
    <w:name w:val="Заголовок"/>
    <w:basedOn w:val="Normal"/>
    <w:next w:val="14"/>
    <w:qFormat/>
    <w:pPr>
      <w:jc w:val="center"/>
    </w:pPr>
    <w:rPr>
      <w:rFonts w:ascii="Tahoma" w:hAnsi="Tahoma" w:cs="Tahoma"/>
      <w:szCs w:val="20"/>
    </w:rPr>
  </w:style>
  <w:style w:type="paragraph" w:styleId="Style18">
    <w:name w:val="Body Text"/>
    <w:basedOn w:val="Normal"/>
    <w:next w:val="14"/>
    <w:pPr>
      <w:spacing w:before="0" w:after="120"/>
    </w:pPr>
    <w:rPr/>
  </w:style>
  <w:style w:type="paragraph" w:styleId="Style19">
    <w:name w:val="List"/>
    <w:basedOn w:val="14"/>
    <w:next w:val="Rvps7"/>
    <w:pPr/>
    <w:rPr>
      <w:rFonts w:cs="Arial"/>
    </w:rPr>
  </w:style>
  <w:style w:type="paragraph" w:styleId="Style20">
    <w:name w:val="Caption"/>
    <w:basedOn w:val="Normal"/>
    <w:next w:val="Rvps14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next w:val="Rvps12"/>
    <w:qFormat/>
    <w:pPr>
      <w:suppressLineNumbers/>
    </w:pPr>
    <w:rPr>
      <w:rFonts w:cs="Mangal"/>
      <w:sz w:val="24"/>
    </w:rPr>
  </w:style>
  <w:style w:type="paragraph" w:styleId="Style22">
    <w:name w:val="Покажчик"/>
    <w:basedOn w:val="Normal"/>
    <w:next w:val="Rvps2"/>
    <w:qFormat/>
    <w:pPr>
      <w:suppressLineNumbers/>
    </w:pPr>
    <w:rPr>
      <w:rFonts w:ascii="Times New Roman" w:hAnsi="Times New Roman" w:cs="Arial"/>
      <w:sz w:val="24"/>
    </w:rPr>
  </w:style>
  <w:style w:type="paragraph" w:styleId="22">
    <w:name w:val="Название объекта2"/>
    <w:basedOn w:val="Normal"/>
    <w:next w:val="Style27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4">
    <w:name w:val="Указатель1"/>
    <w:basedOn w:val="Normal"/>
    <w:next w:val="212"/>
    <w:qFormat/>
    <w:pPr>
      <w:suppressLineNumbers/>
    </w:pPr>
    <w:rPr>
      <w:rFonts w:cs="Arial"/>
    </w:rPr>
  </w:style>
  <w:style w:type="paragraph" w:styleId="Style23">
    <w:name w:val="Название объекта"/>
    <w:basedOn w:val="Normal"/>
    <w:next w:val="2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2">
    <w:name w:val="Указатель3"/>
    <w:basedOn w:val="Normal"/>
    <w:next w:val="Style24"/>
    <w:qFormat/>
    <w:pPr>
      <w:suppressLineNumbers/>
    </w:pPr>
    <w:rPr>
      <w:rFonts w:cs="Arial"/>
    </w:rPr>
  </w:style>
  <w:style w:type="paragraph" w:styleId="33">
    <w:name w:val="Название объекта3"/>
    <w:basedOn w:val="Normal"/>
    <w:next w:val="Style25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3">
    <w:name w:val="Указатель2"/>
    <w:basedOn w:val="Normal"/>
    <w:next w:val="Style26"/>
    <w:qFormat/>
    <w:pPr>
      <w:suppressLineNumbers/>
    </w:pPr>
    <w:rPr>
      <w:rFonts w:cs="Arial"/>
    </w:rPr>
  </w:style>
  <w:style w:type="paragraph" w:styleId="Rvps7">
    <w:name w:val="rvps7"/>
    <w:basedOn w:val="Normal"/>
    <w:next w:val="Style28"/>
    <w:qFormat/>
    <w:pPr>
      <w:spacing w:before="280" w:after="280"/>
    </w:pPr>
    <w:rPr/>
  </w:style>
  <w:style w:type="paragraph" w:styleId="Rvps14">
    <w:name w:val="rvps14"/>
    <w:basedOn w:val="Normal"/>
    <w:next w:val="Style29"/>
    <w:qFormat/>
    <w:pPr>
      <w:spacing w:before="280" w:after="280"/>
    </w:pPr>
    <w:rPr/>
  </w:style>
  <w:style w:type="paragraph" w:styleId="Rvps12">
    <w:name w:val="rvps12"/>
    <w:basedOn w:val="Normal"/>
    <w:next w:val="LONormal"/>
    <w:qFormat/>
    <w:pPr>
      <w:spacing w:before="280" w:after="280"/>
    </w:pPr>
    <w:rPr/>
  </w:style>
  <w:style w:type="paragraph" w:styleId="Rvps2">
    <w:name w:val="rvps2"/>
    <w:basedOn w:val="Normal"/>
    <w:next w:val="Style30"/>
    <w:qFormat/>
    <w:pPr>
      <w:spacing w:before="280" w:after="280"/>
    </w:pPr>
    <w:rPr/>
  </w:style>
  <w:style w:type="paragraph" w:styleId="211">
    <w:name w:val="Знак Знак Знак2 Знак Знак Знак1 Знак"/>
    <w:basedOn w:val="Normal"/>
    <w:next w:val="Style31"/>
    <w:qFormat/>
    <w:pPr/>
    <w:rPr>
      <w:rFonts w:ascii="Verdana" w:hAnsi="Verdana" w:cs="Verdana"/>
      <w:sz w:val="20"/>
      <w:szCs w:val="20"/>
      <w:lang w:val="en-US"/>
    </w:rPr>
  </w:style>
  <w:style w:type="paragraph" w:styleId="Style24">
    <w:name w:val="Верхний и нижний колонтитулы"/>
    <w:basedOn w:val="Normal"/>
    <w:next w:val="Style32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5">
    <w:name w:val="Верхній і нижній колонтитули"/>
    <w:basedOn w:val="Normal"/>
    <w:next w:val="221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next w:val="311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7">
    <w:name w:val="Знак"/>
    <w:basedOn w:val="Normal"/>
    <w:next w:val="213"/>
    <w:qFormat/>
    <w:pPr/>
    <w:rPr>
      <w:rFonts w:ascii="Verdana" w:hAnsi="Verdana" w:cs="Verdana"/>
      <w:sz w:val="20"/>
      <w:szCs w:val="20"/>
      <w:lang w:val="en-US"/>
    </w:rPr>
  </w:style>
  <w:style w:type="paragraph" w:styleId="212">
    <w:name w:val=" Знак Знак Знак2 Знак Знак Знак1 Знак"/>
    <w:basedOn w:val="Normal"/>
    <w:next w:val="Style33"/>
    <w:qFormat/>
    <w:pPr/>
    <w:rPr>
      <w:rFonts w:ascii="Verdana" w:hAnsi="Verdana" w:cs="Verdana"/>
      <w:sz w:val="20"/>
      <w:szCs w:val="20"/>
      <w:lang w:val="en-US"/>
    </w:rPr>
  </w:style>
  <w:style w:type="paragraph" w:styleId="Style28">
    <w:name w:val="Body Text Indent"/>
    <w:basedOn w:val="Normal"/>
    <w:next w:val="Style34"/>
    <w:pPr>
      <w:ind w:left="0" w:right="0" w:firstLine="851"/>
      <w:jc w:val="both"/>
    </w:pPr>
    <w:rPr>
      <w:szCs w:val="20"/>
    </w:rPr>
  </w:style>
  <w:style w:type="paragraph" w:styleId="Style29">
    <w:name w:val="Нормальний текст"/>
    <w:basedOn w:val="Normal"/>
    <w:next w:val="15"/>
    <w:qFormat/>
    <w:pPr>
      <w:spacing w:before="120" w:after="0"/>
      <w:ind w:left="0" w:right="0" w:firstLine="567"/>
      <w:jc w:val="both"/>
    </w:pPr>
    <w:rPr>
      <w:rFonts w:ascii="Antiqua;Arial Narrow" w:hAnsi="Antiqua;Arial Narrow" w:cs="Antiqua;Arial Narrow"/>
      <w:sz w:val="26"/>
      <w:szCs w:val="26"/>
      <w:lang w:val="uk-UA"/>
    </w:rPr>
  </w:style>
  <w:style w:type="paragraph" w:styleId="LONormal">
    <w:name w:val="LO-Normal"/>
    <w:next w:val="WW"/>
    <w:qFormat/>
    <w:pPr>
      <w:widowControl w:val="false"/>
      <w:suppressAutoHyphens w:val="true"/>
      <w:overflowPunct w:val="true"/>
      <w:bidi w:val="0"/>
      <w:spacing w:lineRule="auto" w:line="252" w:before="0" w:after="0"/>
      <w:ind w:left="0" w:right="0" w:firstLine="720"/>
      <w:jc w:val="both"/>
    </w:pPr>
    <w:rPr>
      <w:rFonts w:ascii="Times New Roman" w:hAnsi="Times New Roman" w:eastAsia="Times New Roman" w:cs="Times New Roman"/>
      <w:color w:val="auto"/>
      <w:kern w:val="2"/>
      <w:sz w:val="28"/>
      <w:szCs w:val="20"/>
      <w:lang w:val="uk-UA" w:eastAsia="zh-CN" w:bidi="ar-SA"/>
    </w:rPr>
  </w:style>
  <w:style w:type="paragraph" w:styleId="Style30">
    <w:name w:val="Текст выноски"/>
    <w:basedOn w:val="Normal"/>
    <w:next w:val="222"/>
    <w:qFormat/>
    <w:pPr/>
    <w:rPr>
      <w:rFonts w:ascii="Tahoma" w:hAnsi="Tahoma" w:cs="Tahoma"/>
      <w:sz w:val="16"/>
      <w:szCs w:val="16"/>
    </w:rPr>
  </w:style>
  <w:style w:type="paragraph" w:styleId="Style31">
    <w:name w:val="Footer"/>
    <w:basedOn w:val="Normal"/>
    <w:next w:val="Style81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2">
    <w:name w:val="Вміст таблиці"/>
    <w:basedOn w:val="Normal"/>
    <w:next w:val="Style35"/>
    <w:qFormat/>
    <w:pPr>
      <w:widowControl w:val="false"/>
      <w:suppressLineNumbers/>
    </w:pPr>
    <w:rPr/>
  </w:style>
  <w:style w:type="paragraph" w:styleId="221">
    <w:name w:val="Основной текст с отступом 22"/>
    <w:basedOn w:val="Normal"/>
    <w:next w:val="214"/>
    <w:qFormat/>
    <w:pPr>
      <w:spacing w:lineRule="auto" w:line="480" w:before="0" w:after="120"/>
      <w:ind w:left="283" w:right="0" w:hanging="0"/>
    </w:pPr>
    <w:rPr/>
  </w:style>
  <w:style w:type="paragraph" w:styleId="311">
    <w:name w:val="Основной текст с отступом 31"/>
    <w:basedOn w:val="Normal"/>
    <w:next w:val="16"/>
    <w:qFormat/>
    <w:pPr>
      <w:spacing w:before="0" w:after="120"/>
      <w:ind w:left="283" w:right="0" w:hanging="0"/>
    </w:pPr>
    <w:rPr>
      <w:sz w:val="16"/>
      <w:szCs w:val="16"/>
    </w:rPr>
  </w:style>
  <w:style w:type="paragraph" w:styleId="213">
    <w:name w:val="Основной текст с отступом 21"/>
    <w:basedOn w:val="Normal"/>
    <w:next w:val="17"/>
    <w:qFormat/>
    <w:pPr>
      <w:spacing w:lineRule="auto" w:line="480" w:before="0" w:after="120"/>
      <w:ind w:left="283" w:right="0" w:hanging="0"/>
    </w:pPr>
    <w:rPr/>
  </w:style>
  <w:style w:type="paragraph" w:styleId="Style33">
    <w:name w:val="Абзац списка"/>
    <w:basedOn w:val="Normal"/>
    <w:next w:val="Style36"/>
    <w:qFormat/>
    <w:pPr>
      <w:spacing w:lineRule="auto" w:line="276" w:before="0" w:after="200"/>
      <w:ind w:left="720" w:right="0" w:hanging="0"/>
      <w:contextualSpacing/>
    </w:pPr>
    <w:rPr>
      <w:rFonts w:ascii="Calibri" w:hAnsi="Calibri" w:eastAsia="Calibri" w:cs="Calibri"/>
      <w:sz w:val="22"/>
      <w:szCs w:val="22"/>
    </w:rPr>
  </w:style>
  <w:style w:type="paragraph" w:styleId="Style34">
    <w:name w:val=" Знак"/>
    <w:basedOn w:val="Normal"/>
    <w:next w:val="Style37"/>
    <w:qFormat/>
    <w:pPr/>
    <w:rPr>
      <w:rFonts w:ascii="Verdana" w:hAnsi="Verdana" w:cs="Verdana"/>
      <w:sz w:val="20"/>
      <w:szCs w:val="20"/>
      <w:lang w:val="en-US"/>
    </w:rPr>
  </w:style>
  <w:style w:type="paragraph" w:styleId="15">
    <w:name w:val="Текст1"/>
    <w:basedOn w:val="Style27"/>
    <w:next w:val="Style38"/>
    <w:qFormat/>
    <w:pPr/>
    <w:rPr/>
  </w:style>
  <w:style w:type="paragraph" w:styleId="WW">
    <w:name w:val="WW-Текст"/>
    <w:basedOn w:val="Normal"/>
    <w:next w:val="Style39"/>
    <w:qFormat/>
    <w:pPr/>
    <w:rPr>
      <w:rFonts w:ascii="Courier New" w:hAnsi="Courier New" w:cs="Courier New"/>
      <w:sz w:val="20"/>
      <w:szCs w:val="20"/>
    </w:rPr>
  </w:style>
  <w:style w:type="paragraph" w:styleId="222">
    <w:name w:val="Основной текст 22"/>
    <w:basedOn w:val="Normal"/>
    <w:next w:val="CharCharCharChar"/>
    <w:qFormat/>
    <w:pPr>
      <w:jc w:val="both"/>
    </w:pPr>
    <w:rPr>
      <w:i/>
      <w:iCs/>
      <w:sz w:val="28"/>
      <w:szCs w:val="28"/>
      <w:lang w:val="uk-UA"/>
    </w:rPr>
  </w:style>
  <w:style w:type="paragraph" w:styleId="Style81">
    <w:name w:val="Style8"/>
    <w:basedOn w:val="Normal"/>
    <w:next w:val="231"/>
    <w:qFormat/>
    <w:pPr>
      <w:widowControl w:val="false"/>
      <w:spacing w:lineRule="exact" w:line="326"/>
      <w:ind w:left="0" w:right="0" w:firstLine="552"/>
      <w:jc w:val="both"/>
    </w:pPr>
    <w:rPr/>
  </w:style>
  <w:style w:type="paragraph" w:styleId="Style35">
    <w:name w:val="Subtitle"/>
    <w:basedOn w:val="Normal"/>
    <w:next w:val="14"/>
    <w:qFormat/>
    <w:pPr>
      <w:jc w:val="center"/>
    </w:pPr>
    <w:rPr>
      <w:rFonts w:eastAsia="Calibri"/>
      <w:b/>
      <w:bCs/>
      <w:sz w:val="28"/>
      <w:szCs w:val="28"/>
      <w:lang w:val="uk-UA"/>
    </w:rPr>
  </w:style>
  <w:style w:type="paragraph" w:styleId="214">
    <w:name w:val="Основной текст 21"/>
    <w:basedOn w:val="Normal"/>
    <w:next w:val="321"/>
    <w:qFormat/>
    <w:pPr>
      <w:suppressAutoHyphens w:val="true"/>
      <w:jc w:val="both"/>
    </w:pPr>
    <w:rPr>
      <w:b/>
      <w:bCs/>
      <w:lang w:val="uk-UA"/>
    </w:rPr>
  </w:style>
  <w:style w:type="paragraph" w:styleId="16">
    <w:name w:val="Основний текст1"/>
    <w:basedOn w:val="Normal"/>
    <w:next w:val="232"/>
    <w:qFormat/>
    <w:pPr>
      <w:widowControl w:val="false"/>
      <w:shd w:val="clear" w:fill="FFFFFF"/>
      <w:spacing w:lineRule="exact" w:line="432" w:before="240" w:after="0"/>
      <w:jc w:val="both"/>
    </w:pPr>
    <w:rPr>
      <w:sz w:val="15"/>
      <w:szCs w:val="15"/>
      <w:lang w:val="uk-UA" w:eastAsia="uk-UA"/>
    </w:rPr>
  </w:style>
  <w:style w:type="paragraph" w:styleId="17">
    <w:name w:val="Название объекта1"/>
    <w:basedOn w:val="Normal"/>
    <w:next w:val="Normal"/>
    <w:qFormat/>
    <w:pPr>
      <w:jc w:val="center"/>
    </w:pPr>
    <w:rPr>
      <w:b/>
      <w:bCs/>
    </w:rPr>
  </w:style>
  <w:style w:type="paragraph" w:styleId="Style36">
    <w:name w:val="Обычный (веб)"/>
    <w:basedOn w:val="Normal"/>
    <w:next w:val="Content"/>
    <w:qFormat/>
    <w:pPr>
      <w:spacing w:before="280" w:after="280"/>
    </w:pPr>
    <w:rPr/>
  </w:style>
  <w:style w:type="paragraph" w:styleId="Style37">
    <w:name w:val="Содержимое таблицы"/>
    <w:basedOn w:val="Normal"/>
    <w:next w:val="WW1"/>
    <w:qFormat/>
    <w:pPr>
      <w:suppressLineNumbers/>
    </w:pPr>
    <w:rPr/>
  </w:style>
  <w:style w:type="paragraph" w:styleId="WW1">
    <w:name w:val="WW-Основний текст"/>
    <w:basedOn w:val="Normal"/>
    <w:qFormat/>
    <w:pPr>
      <w:shd w:val="clear" w:fill="FFFFFF"/>
      <w:spacing w:lineRule="auto" w:line="240" w:before="0" w:after="0"/>
    </w:pPr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sz w:val="20"/>
      <w:u w:val="none"/>
    </w:rPr>
  </w:style>
  <w:style w:type="paragraph" w:styleId="Style38">
    <w:name w:val="Заголовок таблицы"/>
    <w:basedOn w:val="WW1"/>
    <w:next w:val="Style40"/>
    <w:qFormat/>
    <w:pPr>
      <w:suppressLineNumbers/>
      <w:shd w:val="clear" w:fill="FFFFFF"/>
      <w:jc w:val="center"/>
    </w:pPr>
    <w:rPr>
      <w:b/>
      <w:bCs/>
    </w:rPr>
  </w:style>
  <w:style w:type="paragraph" w:styleId="Style39">
    <w:name w:val="Содержимое врезки"/>
    <w:basedOn w:val="Normal"/>
    <w:next w:val="Standard"/>
    <w:qFormat/>
    <w:pPr/>
    <w:rPr/>
  </w:style>
  <w:style w:type="paragraph" w:styleId="CharCharCharChar">
    <w:name w:val="Char Знак Знак Char Знак Знак Char Знак Знак Char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231">
    <w:name w:val="Основной текст 23"/>
    <w:basedOn w:val="Normal"/>
    <w:qFormat/>
    <w:pPr>
      <w:jc w:val="both"/>
    </w:pPr>
    <w:rPr>
      <w:i/>
      <w:iCs/>
      <w:sz w:val="28"/>
      <w:szCs w:val="28"/>
      <w:lang w:val="uk-UA"/>
    </w:rPr>
  </w:style>
  <w:style w:type="paragraph" w:styleId="24">
    <w:name w:val="Текст2"/>
    <w:basedOn w:val="Style25"/>
    <w:qFormat/>
    <w:pPr/>
    <w:rPr/>
  </w:style>
  <w:style w:type="paragraph" w:styleId="321">
    <w:name w:val="Основной текст с отступом 32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232">
    <w:name w:val="Основной текст с отступом 23"/>
    <w:basedOn w:val="Normal"/>
    <w:qFormat/>
    <w:pPr>
      <w:spacing w:lineRule="auto" w:line="480" w:before="0" w:after="120"/>
      <w:ind w:left="283" w:right="0" w:hanging="0"/>
    </w:pPr>
    <w:rPr/>
  </w:style>
  <w:style w:type="paragraph" w:styleId="LONormal1">
    <w:name w:val="LO-Normal1"/>
    <w:qFormat/>
    <w:pPr>
      <w:widowControl w:val="false"/>
      <w:suppressAutoHyphens w:val="true"/>
      <w:overflowPunct w:val="true"/>
      <w:bidi w:val="0"/>
      <w:spacing w:lineRule="auto" w:line="252" w:before="0" w:after="0"/>
      <w:ind w:left="0" w:right="0" w:firstLine="720"/>
      <w:jc w:val="both"/>
    </w:pPr>
    <w:rPr>
      <w:rFonts w:ascii="Times New Roman" w:hAnsi="Times New Roman" w:eastAsia="Times New Roman" w:cs="Times New Roman"/>
      <w:color w:val="auto"/>
      <w:kern w:val="2"/>
      <w:sz w:val="28"/>
      <w:szCs w:val="20"/>
      <w:lang w:val="uk-UA" w:eastAsia="zh-CN" w:bidi="ar-SA"/>
    </w:rPr>
  </w:style>
  <w:style w:type="paragraph" w:styleId="Content">
    <w:name w:val="content"/>
    <w:basedOn w:val="Normal"/>
    <w:qFormat/>
    <w:pPr>
      <w:suppressAutoHyphens w:val="false"/>
      <w:spacing w:lineRule="atLeast" w:line="162" w:before="100" w:after="100"/>
      <w:ind w:left="0" w:right="0" w:firstLine="360"/>
      <w:jc w:val="both"/>
    </w:pPr>
    <w:rPr>
      <w:rFonts w:ascii="Verdana" w:hAnsi="Verdana" w:cs="Verdana"/>
      <w:kern w:val="2"/>
      <w:sz w:val="20"/>
      <w:szCs w:val="20"/>
      <w:lang w:val="uk-UA"/>
    </w:rPr>
  </w:style>
  <w:style w:type="paragraph" w:styleId="Style40">
    <w:name w:val="Заголовок таблиці"/>
    <w:basedOn w:val="Style35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NSimSun" w:cs="Arial"/>
      <w:color w:val="auto"/>
      <w:kern w:val="2"/>
      <w:sz w:val="28"/>
      <w:szCs w:val="24"/>
      <w:lang w:val="uk-UA" w:eastAsia="zh-CN" w:bidi="hi-IN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4">
    <w:name w:val="WW8Num4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Application>LibreOffice/6.3.3.2$Windows_x86 LibreOffice_project/a64200df03143b798afd1ec74a12ab50359878ed</Application>
  <Pages>5</Pages>
  <Words>1118</Words>
  <Characters>7695</Characters>
  <CharactersWithSpaces>8771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ponomarenko</dc:creator>
  <dc:description/>
  <dc:language>uk-UA</dc:language>
  <cp:lastModifiedBy/>
  <cp:lastPrinted>1995-11-21T17:41:00Z</cp:lastPrinted>
  <dcterms:modified xsi:type="dcterms:W3CDTF">2021-06-29T14:51:46Z</dcterms:modified>
  <cp:revision>113</cp:revision>
  <dc:subject/>
  <dc:title>Додаток 1 </dc:title>
</cp:coreProperties>
</file>