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5661"/>
        <w:gridCol w:w="4333"/>
      </w:tblGrid>
      <w:tr w:rsidR="008D5C83" w:rsidRPr="001238F6">
        <w:tc>
          <w:tcPr>
            <w:tcW w:w="5661" w:type="dxa"/>
            <w:shd w:val="clear" w:color="auto" w:fill="auto"/>
          </w:tcPr>
          <w:p w:rsidR="008D5C83" w:rsidRPr="001238F6" w:rsidRDefault="008D5C83">
            <w:pPr>
              <w:snapToGri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333" w:type="dxa"/>
            <w:shd w:val="clear" w:color="auto" w:fill="auto"/>
          </w:tcPr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 xml:space="preserve">Наказ </w:t>
            </w:r>
            <w:r w:rsidR="00DD5519">
              <w:rPr>
                <w:bCs/>
                <w:color w:val="000000"/>
                <w:sz w:val="28"/>
                <w:szCs w:val="28"/>
                <w:lang w:val="uk-UA"/>
              </w:rPr>
              <w:t>г</w:t>
            </w: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оловного управління Пенсійного фонду України</w:t>
            </w:r>
          </w:p>
          <w:p w:rsidR="008D5C83" w:rsidRPr="001238F6" w:rsidRDefault="008D5C83">
            <w:pPr>
              <w:snapToGrid w:val="0"/>
              <w:rPr>
                <w:lang w:val="uk-UA"/>
              </w:rPr>
            </w:pP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 xml:space="preserve">в </w:t>
            </w:r>
            <w:r w:rsidR="001238F6" w:rsidRPr="001238F6">
              <w:rPr>
                <w:bCs/>
                <w:color w:val="000000"/>
                <w:sz w:val="28"/>
                <w:szCs w:val="28"/>
                <w:lang w:val="uk-UA"/>
              </w:rPr>
              <w:t>Хмельниць</w:t>
            </w:r>
            <w:r w:rsidRPr="001238F6">
              <w:rPr>
                <w:bCs/>
                <w:color w:val="000000"/>
                <w:sz w:val="28"/>
                <w:szCs w:val="28"/>
                <w:lang w:val="uk-UA"/>
              </w:rPr>
              <w:t>кій області</w:t>
            </w:r>
          </w:p>
          <w:p w:rsidR="008D5C83" w:rsidRPr="001238F6" w:rsidRDefault="00D41D74" w:rsidP="00E87DF3">
            <w:pPr>
              <w:rPr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09.06.2021 </w:t>
            </w:r>
            <w:r w:rsidR="00FA444D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335</w:t>
            </w:r>
            <w:bookmarkStart w:id="0" w:name="_GoBack"/>
            <w:bookmarkEnd w:id="0"/>
          </w:p>
        </w:tc>
      </w:tr>
    </w:tbl>
    <w:p w:rsidR="008D5C83" w:rsidRPr="001238F6" w:rsidRDefault="008D5C83">
      <w:pPr>
        <w:jc w:val="center"/>
        <w:rPr>
          <w:rFonts w:cs="Verdana"/>
          <w:sz w:val="26"/>
          <w:szCs w:val="26"/>
          <w:lang w:val="uk-UA"/>
        </w:rPr>
      </w:pPr>
    </w:p>
    <w:p w:rsidR="008D5C83" w:rsidRPr="001238F6" w:rsidRDefault="008D5C83">
      <w:pPr>
        <w:jc w:val="center"/>
        <w:rPr>
          <w:lang w:val="uk-UA"/>
        </w:rPr>
      </w:pPr>
      <w:r w:rsidRPr="001238F6">
        <w:rPr>
          <w:rFonts w:cs="Verdana"/>
          <w:sz w:val="28"/>
          <w:szCs w:val="28"/>
          <w:lang w:val="uk-UA"/>
        </w:rPr>
        <w:t>УМОВИ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 xml:space="preserve">проведення конкурсу </w:t>
      </w:r>
    </w:p>
    <w:p w:rsidR="008D5C83" w:rsidRPr="001238F6" w:rsidRDefault="008D5C83" w:rsidP="001238F6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>на зайняття посади державної служби категорії “</w:t>
      </w:r>
      <w:r w:rsidR="001238F6" w:rsidRPr="001238F6">
        <w:rPr>
          <w:bCs/>
          <w:color w:val="000000"/>
          <w:sz w:val="28"/>
          <w:szCs w:val="28"/>
          <w:lang w:val="uk-UA"/>
        </w:rPr>
        <w:t>Б</w:t>
      </w:r>
      <w:r w:rsidRPr="001238F6">
        <w:rPr>
          <w:bCs/>
          <w:color w:val="000000"/>
          <w:sz w:val="28"/>
          <w:szCs w:val="28"/>
          <w:lang w:val="uk-UA"/>
        </w:rPr>
        <w:t xml:space="preserve">” </w:t>
      </w:r>
      <w:bookmarkStart w:id="1" w:name="__DdeLink__214_2315103027"/>
      <w:r w:rsidRPr="001238F6">
        <w:rPr>
          <w:bCs/>
          <w:color w:val="000000"/>
          <w:sz w:val="28"/>
          <w:szCs w:val="28"/>
          <w:lang w:val="uk-UA"/>
        </w:rPr>
        <w:t>–</w:t>
      </w:r>
      <w:bookmarkEnd w:id="1"/>
      <w:r w:rsidRPr="001238F6">
        <w:rPr>
          <w:bCs/>
          <w:color w:val="000000"/>
          <w:sz w:val="28"/>
          <w:szCs w:val="28"/>
          <w:lang w:val="uk-UA"/>
        </w:rPr>
        <w:t xml:space="preserve"> </w:t>
      </w:r>
      <w:r w:rsidR="00481ACC">
        <w:rPr>
          <w:bCs/>
          <w:color w:val="000000"/>
          <w:sz w:val="28"/>
          <w:szCs w:val="28"/>
          <w:lang w:val="uk-UA"/>
        </w:rPr>
        <w:t xml:space="preserve">заступника </w:t>
      </w:r>
      <w:r w:rsidR="001238F6" w:rsidRPr="001238F6">
        <w:rPr>
          <w:bCs/>
          <w:color w:val="000000"/>
          <w:sz w:val="28"/>
          <w:szCs w:val="28"/>
          <w:lang w:val="uk-UA"/>
        </w:rPr>
        <w:t xml:space="preserve">начальника відділу </w:t>
      </w:r>
      <w:r w:rsidR="00936699">
        <w:rPr>
          <w:bCs/>
          <w:color w:val="000000"/>
          <w:sz w:val="28"/>
          <w:szCs w:val="28"/>
          <w:lang w:val="uk-UA"/>
        </w:rPr>
        <w:t>внутрішнього аудиту</w:t>
      </w:r>
      <w:r w:rsidR="00481ACC">
        <w:rPr>
          <w:bCs/>
          <w:color w:val="000000"/>
          <w:sz w:val="28"/>
          <w:szCs w:val="28"/>
          <w:lang w:val="uk-UA"/>
        </w:rPr>
        <w:t xml:space="preserve"> </w:t>
      </w:r>
      <w:r w:rsidR="001238F6" w:rsidRPr="001238F6">
        <w:rPr>
          <w:bCs/>
          <w:color w:val="000000"/>
          <w:sz w:val="28"/>
          <w:szCs w:val="28"/>
          <w:lang w:val="uk-UA"/>
        </w:rPr>
        <w:t>головного управління Пенсійного фонду України в Хмельницькій області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lang w:val="uk-UA"/>
        </w:rPr>
      </w:pPr>
      <w:r w:rsidRPr="001238F6">
        <w:rPr>
          <w:bCs/>
          <w:color w:val="000000"/>
          <w:sz w:val="28"/>
          <w:szCs w:val="28"/>
          <w:lang w:val="uk-UA"/>
        </w:rPr>
        <w:t xml:space="preserve"> (робоч</w:t>
      </w:r>
      <w:r w:rsidR="001238F6" w:rsidRPr="001238F6">
        <w:rPr>
          <w:bCs/>
          <w:color w:val="000000"/>
          <w:sz w:val="28"/>
          <w:szCs w:val="28"/>
          <w:lang w:val="uk-UA"/>
        </w:rPr>
        <w:t>е</w:t>
      </w:r>
      <w:r w:rsidRPr="001238F6">
        <w:rPr>
          <w:bCs/>
          <w:color w:val="000000"/>
          <w:sz w:val="28"/>
          <w:szCs w:val="28"/>
          <w:lang w:val="uk-UA"/>
        </w:rPr>
        <w:t xml:space="preserve"> місц</w:t>
      </w:r>
      <w:r w:rsidR="001238F6" w:rsidRPr="001238F6">
        <w:rPr>
          <w:bCs/>
          <w:color w:val="000000"/>
          <w:sz w:val="28"/>
          <w:szCs w:val="28"/>
          <w:lang w:val="uk-UA"/>
        </w:rPr>
        <w:t>е –</w:t>
      </w:r>
      <w:r w:rsidR="00481ACC">
        <w:rPr>
          <w:bCs/>
          <w:color w:val="000000"/>
          <w:sz w:val="28"/>
          <w:szCs w:val="28"/>
          <w:lang w:val="uk-UA"/>
        </w:rPr>
        <w:t xml:space="preserve"> м. Хмельницький</w:t>
      </w:r>
      <w:r w:rsidRPr="001238F6">
        <w:rPr>
          <w:bCs/>
          <w:color w:val="000000"/>
          <w:sz w:val="28"/>
          <w:szCs w:val="28"/>
          <w:lang w:val="uk-UA"/>
        </w:rPr>
        <w:t xml:space="preserve">)  </w:t>
      </w:r>
    </w:p>
    <w:p w:rsidR="008D5C83" w:rsidRPr="001238F6" w:rsidRDefault="008D5C83">
      <w:pPr>
        <w:pStyle w:val="22"/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2610"/>
        <w:gridCol w:w="7504"/>
      </w:tblGrid>
      <w:tr w:rsidR="008D5C83" w:rsidRPr="00481ACC">
        <w:trPr>
          <w:trHeight w:val="246"/>
        </w:trPr>
        <w:tc>
          <w:tcPr>
            <w:tcW w:w="10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8D5C83" w:rsidRPr="00481ACC">
        <w:trPr>
          <w:trHeight w:val="1124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Pr="00936699" w:rsidRDefault="0014428A" w:rsidP="00936699">
            <w:pPr>
              <w:widowControl/>
              <w:suppressAutoHyphens w:val="0"/>
              <w:snapToGrid w:val="0"/>
              <w:spacing w:after="160" w:line="256" w:lineRule="auto"/>
              <w:ind w:right="100"/>
              <w:jc w:val="both"/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1.Забезпечувати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виконання відділом вимог Конституції та законів Ук</w:t>
            </w: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раїни,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актів Президента України, інших нормативно-правових актів, постанов правління Пенсійного фонду України, наказів Пенсійного фонду України та головного управління Пенсійного фонду України</w:t>
            </w: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в області; забезпечувати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додержання працівниками відділу вимог законодавства України про державну службу та з питань запобігання корупції, правил етичної поведінки державних службовців, виконавської дисципліни, порядку ведення діловодства, правил внутрішнього службового розпорядку, вимог нормативно-правових актів з охорони праці та пожежної безпеки.</w:t>
            </w:r>
          </w:p>
          <w:p w:rsidR="00936699" w:rsidRPr="00936699" w:rsidRDefault="0014428A" w:rsidP="00936699">
            <w:pPr>
              <w:widowControl/>
              <w:suppressAutoHyphens w:val="0"/>
              <w:snapToGrid w:val="0"/>
              <w:spacing w:after="160" w:line="256" w:lineRule="auto"/>
              <w:ind w:right="100"/>
              <w:jc w:val="both"/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2. Забезпечувати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планування, організацію та здійснення на належному рівні внутрішніх аудитів, </w:t>
            </w: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інших контрольних заходів, подавати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керівництву аудиторські звіти та рекомендації за їх результатами.</w:t>
            </w:r>
          </w:p>
          <w:p w:rsidR="00936699" w:rsidRPr="00936699" w:rsidRDefault="0014428A" w:rsidP="00936699">
            <w:pPr>
              <w:widowControl/>
              <w:suppressAutoHyphens w:val="0"/>
              <w:snapToGrid w:val="0"/>
              <w:spacing w:after="160" w:line="256" w:lineRule="auto"/>
              <w:ind w:right="100"/>
              <w:jc w:val="both"/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3.Здійснювати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документальне оформлення перебігу та результатів </w:t>
            </w: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аудиторських досліджень, складати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робочі документи (записи у текстовій і табличній формі, в яких зафіксовані проведені прийоми та процедури внутрішнього аудиту, отримана інформація, яка підтверджу</w:t>
            </w:r>
            <w:r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є</w:t>
            </w:r>
            <w:r w:rsidR="00936699"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 висновки, здійснені під час його проведення) та офіційні документи (аудиторський звіт), розробляти аудиторські рекомендації.</w:t>
            </w:r>
          </w:p>
          <w:p w:rsidR="00936699" w:rsidRPr="00936699" w:rsidRDefault="00936699" w:rsidP="00936699">
            <w:pPr>
              <w:widowControl/>
              <w:suppressAutoHyphens w:val="0"/>
              <w:snapToGrid w:val="0"/>
              <w:spacing w:after="160" w:line="256" w:lineRule="auto"/>
              <w:ind w:right="100"/>
              <w:jc w:val="both"/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</w:pPr>
            <w:r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 xml:space="preserve">4.Проводити моніторинг врахування структурними підрозділами головного управління наданих рекомендацій та стан виконання вимог розпорядчого акту про результати аудиторського дослідження на підставі наданої об’єктами аудиту інформації у визначені строки, в разі необхідності </w:t>
            </w:r>
            <w:r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проводити додаткові перевірки структурних підрозділів головного управління щодо ефективності впровадження аудиторських рекомендацій та достовірності наданої інформації.</w:t>
            </w:r>
          </w:p>
          <w:p w:rsidR="00936699" w:rsidRPr="00936699" w:rsidRDefault="00936699" w:rsidP="00936699">
            <w:pPr>
              <w:widowControl/>
              <w:suppressAutoHyphens w:val="0"/>
              <w:snapToGrid w:val="0"/>
              <w:spacing w:after="160" w:line="256" w:lineRule="auto"/>
              <w:ind w:right="100"/>
              <w:jc w:val="both"/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</w:pPr>
            <w:r w:rsidRPr="00936699">
              <w:rPr>
                <w:rFonts w:eastAsia="Calibri" w:cs="Calibri"/>
                <w:bCs/>
                <w:color w:val="000000"/>
                <w:sz w:val="28"/>
                <w:szCs w:val="28"/>
                <w:lang w:val="uk-UA" w:eastAsia="uk-UA"/>
              </w:rPr>
              <w:t>5. Здійснювати формування стратегічного та операційного планів з діяльності внутрішнього аудиту, простору внутрішнього аудиту шляхом ведення бази даних щодо об’єктів внутрішнього аудиту та її підтримання в актуальному стані, щорічне складання програми забезпечення та підвищення якості внутрішнього аудиту, проведення внутрішньої оцінки якості внутрішнього аудиту відповідно до вимог стандартів внутрішнього аудиту.</w:t>
            </w:r>
          </w:p>
          <w:p w:rsidR="00936699" w:rsidRPr="00936699" w:rsidRDefault="00936699" w:rsidP="00936699">
            <w:pPr>
              <w:widowControl/>
              <w:suppressAutoHyphens w:val="0"/>
              <w:snapToGrid w:val="0"/>
              <w:spacing w:after="160" w:line="256" w:lineRule="auto"/>
              <w:ind w:right="100"/>
              <w:jc w:val="both"/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</w:pPr>
            <w:r w:rsidRPr="00936699"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>6. Здійснювати формування щоквартальної інформації про результати аудиторських досліджень, річного звіту 1-ДВА «Звіт про результати діяльності підрозділів внутрішнього аудиту в Пенсійному фонді України», проведення моніторингу результатів контрольних заходів, проведених контролюючими органами в головному управлінні.</w:t>
            </w:r>
          </w:p>
          <w:p w:rsidR="00936699" w:rsidRPr="00936699" w:rsidRDefault="0014428A" w:rsidP="00936699">
            <w:pPr>
              <w:widowControl/>
              <w:suppressAutoHyphens w:val="0"/>
              <w:snapToGrid w:val="0"/>
              <w:spacing w:after="160" w:line="256" w:lineRule="auto"/>
              <w:ind w:right="100"/>
              <w:jc w:val="both"/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>7. Надавати</w:t>
            </w:r>
            <w:r w:rsidR="00936699" w:rsidRPr="00936699"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 xml:space="preserve"> начальнику відділу </w:t>
            </w:r>
            <w:r w:rsidR="00176AC6"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 xml:space="preserve">внутрішнього аудиту </w:t>
            </w:r>
            <w:r w:rsidR="00936699" w:rsidRPr="00936699"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>та начальнику головного управління висновки і пропозиції щодо вжиття заходів реагування для усунення недоліків і порушень, виявлених в ході внутрішніх аудитів та інших контрольних заходів, та притягнення винних осіб до відповідальності.</w:t>
            </w:r>
          </w:p>
          <w:p w:rsidR="008D5C83" w:rsidRPr="00F62FF6" w:rsidRDefault="0014428A" w:rsidP="00936699">
            <w:pPr>
              <w:widowControl/>
              <w:suppressAutoHyphens w:val="0"/>
              <w:spacing w:after="160" w:line="256" w:lineRule="auto"/>
              <w:ind w:left="89" w:firstLine="283"/>
              <w:jc w:val="both"/>
              <w:rPr>
                <w:rFonts w:eastAsia="Calibri" w:cs="Calibri"/>
                <w:color w:val="auto"/>
                <w:lang w:val="uk-UA" w:eastAsia="uk-UA"/>
              </w:rPr>
            </w:pPr>
            <w:r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>8. Розглядати</w:t>
            </w:r>
            <w:r w:rsidR="00936699" w:rsidRPr="00936699"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 xml:space="preserve"> за дорученням керівництва звернення підприємств, установ, організацій, громадян, звернення та запити народних депутатів України з питань, віднесених до компетенції</w:t>
            </w:r>
            <w:r w:rsidR="00176AC6"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 xml:space="preserve"> органів Пенсійного фонду, брати</w:t>
            </w:r>
            <w:r w:rsidR="00936699" w:rsidRPr="00936699">
              <w:rPr>
                <w:rFonts w:eastAsia="Calibri" w:cs="Calibri"/>
                <w:bCs/>
                <w:color w:val="auto"/>
                <w:sz w:val="28"/>
                <w:szCs w:val="28"/>
                <w:lang w:val="uk-UA" w:eastAsia="uk-UA"/>
              </w:rPr>
              <w:t xml:space="preserve"> участь у розгляді таких звернень.</w:t>
            </w:r>
          </w:p>
        </w:tc>
      </w:tr>
      <w:tr w:rsidR="008D5C83" w:rsidRPr="001238F6">
        <w:trPr>
          <w:trHeight w:val="1457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6DCE" w:rsidRPr="00356DCE" w:rsidRDefault="00481ACC" w:rsidP="00356DCE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посадовий оклад – 6700</w:t>
            </w:r>
            <w:r w:rsidR="00356DCE"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грн.;</w:t>
            </w:r>
          </w:p>
          <w:p w:rsidR="00356DCE" w:rsidRPr="00356DCE" w:rsidRDefault="00356DCE" w:rsidP="00356DCE">
            <w:pPr>
              <w:widowControl/>
              <w:jc w:val="both"/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</w:pP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надбавки, доплати, премії та компенсації відповідно до статті 52 З</w:t>
            </w:r>
            <w:r w:rsidR="00DD5519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акону 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У</w:t>
            </w:r>
            <w:r w:rsidR="00DD5519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країни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“Про державну службу”;</w:t>
            </w:r>
          </w:p>
          <w:p w:rsidR="008D5C83" w:rsidRPr="001238F6" w:rsidRDefault="00356DCE" w:rsidP="00356DCE">
            <w:pPr>
              <w:pStyle w:val="ac"/>
              <w:tabs>
                <w:tab w:val="left" w:pos="110"/>
              </w:tabs>
              <w:suppressAutoHyphens/>
              <w:snapToGrid w:val="0"/>
              <w:spacing w:before="0" w:after="0"/>
              <w:jc w:val="both"/>
              <w:rPr>
                <w:lang w:val="uk-UA"/>
              </w:rPr>
            </w:pP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>надбавка до посадового окладу за ранг відповідно до постанови Кабінету</w:t>
            </w:r>
            <w:r w:rsidR="00176AC6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Міністрів України від 18.01.2017</w:t>
            </w:r>
            <w:r w:rsidRPr="00356DCE">
              <w:rPr>
                <w:rFonts w:eastAsia="Times New Roman"/>
                <w:color w:val="auto"/>
                <w:sz w:val="28"/>
                <w:szCs w:val="28"/>
                <w:lang w:val="uk-UA" w:eastAsia="ar-SA"/>
              </w:rPr>
              <w:t xml:space="preserve"> №15 “Питання оплати праці працівників державних органів”(із змінами)</w:t>
            </w:r>
          </w:p>
        </w:tc>
      </w:tr>
      <w:tr w:rsidR="008D5C83" w:rsidRPr="001238F6">
        <w:trPr>
          <w:trHeight w:val="1362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</w:t>
            </w:r>
            <w:r w:rsidRPr="001238F6">
              <w:rPr>
                <w:sz w:val="28"/>
                <w:szCs w:val="28"/>
                <w:lang w:val="uk-UA"/>
              </w:rPr>
              <w:lastRenderedPageBreak/>
              <w:t>посаду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1238F6" w:rsidRDefault="00DD5519" w:rsidP="00DD5519">
            <w:pPr>
              <w:pStyle w:val="ac"/>
              <w:snapToGrid w:val="0"/>
              <w:spacing w:before="0" w:after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</w:t>
            </w:r>
            <w:r w:rsidR="008D5C83" w:rsidRPr="001238F6">
              <w:rPr>
                <w:sz w:val="28"/>
                <w:szCs w:val="28"/>
                <w:lang w:val="uk-UA"/>
              </w:rPr>
              <w:t>езстроково</w:t>
            </w:r>
            <w:r>
              <w:rPr>
                <w:sz w:val="28"/>
                <w:szCs w:val="28"/>
                <w:lang w:val="uk-UA"/>
              </w:rPr>
              <w:t xml:space="preserve"> (для осіб, які досягли 65-річного віку, строк призначення один рік з правом повторного призначення без обов’язко</w:t>
            </w:r>
            <w:r w:rsidR="00F62FF6">
              <w:rPr>
                <w:sz w:val="28"/>
                <w:szCs w:val="28"/>
                <w:lang w:val="uk-UA"/>
              </w:rPr>
              <w:t>вого проведення конкурсу щороку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8D5C83" w:rsidRPr="001238F6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e"/>
              <w:ind w:firstLine="567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Особа, яка виявила бажання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1) заяву про участь у конкурсі із зазначенням основних мотивів щодо зайняття посади за формою згідно з    додатком 2 Порядку проведення конкурсу на зайняття посад державної служби, затвердженого Кабінетом М</w:t>
            </w:r>
            <w:r w:rsidR="00176AC6">
              <w:rPr>
                <w:rFonts w:cs="Verdana"/>
                <w:sz w:val="28"/>
                <w:szCs w:val="28"/>
                <w:lang w:val="uk-UA"/>
              </w:rPr>
              <w:t xml:space="preserve">іністрів України від 25.03.2016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№ 246 (зі змінами);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2) резюме за формою згідно з додатком 2</w:t>
            </w:r>
            <w:r w:rsidRPr="001238F6">
              <w:rPr>
                <w:rFonts w:cs="Verdana"/>
                <w:sz w:val="28"/>
                <w:szCs w:val="28"/>
                <w:vertAlign w:val="superscript"/>
                <w:lang w:val="uk-UA"/>
              </w:rPr>
              <w:t>1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8D5C83" w:rsidRPr="001238F6" w:rsidRDefault="008D5C83">
            <w:pPr>
              <w:ind w:firstLine="252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r w:rsidRPr="001238F6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третьою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 xml:space="preserve"> або</w:t>
            </w:r>
            <w:r w:rsidRPr="001238F6">
              <w:rPr>
                <w:rStyle w:val="apple-converted-space"/>
                <w:rFonts w:cs="Verdana"/>
                <w:sz w:val="28"/>
                <w:szCs w:val="28"/>
                <w:lang w:val="uk-UA"/>
              </w:rPr>
              <w:t xml:space="preserve"> </w:t>
            </w:r>
            <w:r w:rsidRPr="001238F6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 xml:space="preserve">четвертою  </w:t>
            </w:r>
            <w:r w:rsidRPr="001238F6">
              <w:rPr>
                <w:rStyle w:val="apple-converted-space"/>
                <w:rFonts w:cs="Verdana"/>
                <w:color w:val="000000"/>
                <w:sz w:val="28"/>
                <w:szCs w:val="28"/>
                <w:lang w:val="uk-UA"/>
              </w:rPr>
              <w:t xml:space="preserve">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статті 1 Закону України “Про очищення влади”, та надає згоду на проходження перевірки та на оприлюднення</w:t>
            </w:r>
            <w:r w:rsidR="00356DCE">
              <w:rPr>
                <w:lang w:val="uk-UA"/>
              </w:rPr>
              <w:t xml:space="preserve"> </w:t>
            </w:r>
            <w:r w:rsidRPr="001238F6">
              <w:rPr>
                <w:rFonts w:cs="Verdana"/>
                <w:sz w:val="28"/>
                <w:szCs w:val="28"/>
                <w:lang w:val="uk-UA"/>
              </w:rPr>
              <w:t>відомостей стосовно неї відповідно до зазначеного Закону.</w:t>
            </w:r>
          </w:p>
          <w:p w:rsidR="008D5C83" w:rsidRPr="001238F6" w:rsidRDefault="008D5C83" w:rsidP="00356DCE">
            <w:pPr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8D5C83" w:rsidRPr="001238F6" w:rsidRDefault="008D5C83" w:rsidP="00356DCE">
            <w:pPr>
              <w:pStyle w:val="ae"/>
              <w:rPr>
                <w:lang w:val="uk-UA"/>
              </w:rPr>
            </w:pPr>
          </w:p>
          <w:p w:rsidR="008D5C83" w:rsidRPr="001238F6" w:rsidRDefault="008D5C83" w:rsidP="00176AC6">
            <w:pPr>
              <w:pStyle w:val="ae"/>
              <w:jc w:val="both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634168">
              <w:rPr>
                <w:sz w:val="28"/>
                <w:szCs w:val="28"/>
                <w:lang w:val="uk-UA"/>
              </w:rPr>
              <w:t>1</w:t>
            </w:r>
            <w:r w:rsidR="00176AC6">
              <w:rPr>
                <w:sz w:val="28"/>
                <w:szCs w:val="28"/>
                <w:lang w:val="uk-UA"/>
              </w:rPr>
              <w:t>5 год. 45</w:t>
            </w:r>
            <w:r w:rsidR="00E87DF3">
              <w:rPr>
                <w:sz w:val="28"/>
                <w:szCs w:val="28"/>
                <w:lang w:val="uk-UA"/>
              </w:rPr>
              <w:t xml:space="preserve"> хв. 1</w:t>
            </w:r>
            <w:r w:rsidR="00176AC6">
              <w:rPr>
                <w:sz w:val="28"/>
                <w:szCs w:val="28"/>
                <w:lang w:val="uk-UA"/>
              </w:rPr>
              <w:t>8.06.2021</w:t>
            </w:r>
            <w:r w:rsidRPr="001238F6">
              <w:rPr>
                <w:sz w:val="28"/>
                <w:szCs w:val="28"/>
                <w:lang w:val="uk-UA"/>
              </w:rPr>
              <w:t>.</w:t>
            </w:r>
          </w:p>
        </w:tc>
      </w:tr>
      <w:tr w:rsidR="008D5C83" w:rsidRPr="001238F6">
        <w:trPr>
          <w:trHeight w:val="903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Додаткові (необов’язкові) документи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 w:rsidP="00356DCE">
            <w:pPr>
              <w:pStyle w:val="ae"/>
              <w:jc w:val="both"/>
              <w:rPr>
                <w:lang w:val="uk-UA"/>
              </w:rPr>
            </w:pPr>
            <w:r w:rsidRPr="001238F6">
              <w:rPr>
                <w:rFonts w:cs="Verdana"/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57F90" w:rsidRPr="001238F6">
        <w:trPr>
          <w:trHeight w:val="903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Default="00B57F90">
            <w:pPr>
              <w:pStyle w:val="ac"/>
              <w:suppressAutoHyphens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 w:rsidRPr="00B57F90">
              <w:rPr>
                <w:sz w:val="28"/>
                <w:szCs w:val="28"/>
                <w:lang w:val="uk-UA"/>
              </w:rPr>
              <w:t xml:space="preserve">Дата і час початку проведення тестування кандидатів.     Місце або спосіб проведення тестування.      Місце або спосіб проведення співбесіди (із зазначенням </w:t>
            </w:r>
            <w:r w:rsidRPr="00B57F90">
              <w:rPr>
                <w:sz w:val="28"/>
                <w:szCs w:val="28"/>
                <w:lang w:val="uk-UA"/>
              </w:rPr>
              <w:lastRenderedPageBreak/>
              <w:t>електронної платформи для комунікації дистанційно)</w:t>
            </w:r>
          </w:p>
          <w:p w:rsidR="00F62FF6" w:rsidRPr="001238F6" w:rsidRDefault="00F62FF6">
            <w:pPr>
              <w:pStyle w:val="ac"/>
              <w:suppressAutoHyphens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Pr="00B57F90" w:rsidRDefault="00176AC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lastRenderedPageBreak/>
              <w:t>29.06.2021</w:t>
            </w:r>
            <w:r w:rsidR="00B57F90" w:rsidRPr="00B57F90">
              <w:rPr>
                <w:rFonts w:cs="Verdana"/>
                <w:sz w:val="28"/>
                <w:szCs w:val="28"/>
                <w:lang w:val="uk-UA"/>
              </w:rPr>
              <w:t xml:space="preserve"> о </w:t>
            </w:r>
            <w:r w:rsidR="00E87DF3">
              <w:rPr>
                <w:rFonts w:cs="Verdana"/>
                <w:sz w:val="28"/>
                <w:szCs w:val="28"/>
                <w:lang w:val="uk-UA"/>
              </w:rPr>
              <w:t>09</w:t>
            </w:r>
            <w:r w:rsidR="00B57F90" w:rsidRPr="00B57F90">
              <w:rPr>
                <w:rFonts w:cs="Verdana"/>
                <w:sz w:val="28"/>
                <w:szCs w:val="28"/>
                <w:lang w:val="uk-UA"/>
              </w:rPr>
              <w:t xml:space="preserve"> год. 00 хв.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В приміщенні Головного управління Пенсійного фонду України в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Хмельницькій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області за адресою: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м.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Хмельницький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cs="Verdana"/>
                <w:sz w:val="28"/>
                <w:szCs w:val="28"/>
                <w:lang w:val="uk-UA"/>
              </w:rPr>
              <w:t>Герцена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</w:t>
            </w:r>
            <w:r>
              <w:rPr>
                <w:rFonts w:cs="Verdana"/>
                <w:sz w:val="28"/>
                <w:szCs w:val="28"/>
                <w:lang w:val="uk-UA"/>
              </w:rPr>
              <w:t>10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57F90" w:rsidRP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B57F90" w:rsidRDefault="00B57F90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м. </w:t>
            </w:r>
            <w:r>
              <w:rPr>
                <w:rFonts w:cs="Verdana"/>
                <w:sz w:val="28"/>
                <w:szCs w:val="28"/>
                <w:lang w:val="uk-UA"/>
              </w:rPr>
              <w:t>Хмельницький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вул. </w:t>
            </w:r>
            <w:r>
              <w:rPr>
                <w:rFonts w:cs="Verdana"/>
                <w:sz w:val="28"/>
                <w:szCs w:val="28"/>
                <w:lang w:val="uk-UA"/>
              </w:rPr>
              <w:t>Герцена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, </w:t>
            </w:r>
            <w:r>
              <w:rPr>
                <w:rFonts w:cs="Verdana"/>
                <w:sz w:val="28"/>
                <w:szCs w:val="28"/>
                <w:lang w:val="uk-UA"/>
              </w:rPr>
              <w:t>10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t xml:space="preserve"> (проведення співбесіди </w:t>
            </w:r>
            <w:r w:rsidRPr="00B57F90">
              <w:rPr>
                <w:rFonts w:cs="Verdana"/>
                <w:sz w:val="28"/>
                <w:szCs w:val="28"/>
                <w:lang w:val="uk-UA"/>
              </w:rPr>
              <w:lastRenderedPageBreak/>
              <w:t>за фізичної присутності кандидатів з обов’язковим використанням засобів індивідуального захисту)</w:t>
            </w:r>
          </w:p>
          <w:p w:rsidR="00F62F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F62F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</w:p>
          <w:p w:rsidR="00F62FF6" w:rsidRPr="001238F6" w:rsidRDefault="00F62FF6" w:rsidP="00B57F90">
            <w:pPr>
              <w:pStyle w:val="ae"/>
              <w:jc w:val="both"/>
              <w:rPr>
                <w:rFonts w:cs="Verdana"/>
                <w:sz w:val="28"/>
                <w:szCs w:val="28"/>
                <w:lang w:val="uk-UA"/>
              </w:rPr>
            </w:pPr>
            <w:r>
              <w:rPr>
                <w:rFonts w:cs="Verdana"/>
                <w:sz w:val="28"/>
                <w:szCs w:val="28"/>
                <w:lang w:val="uk-UA"/>
              </w:rPr>
              <w:t>Учасникам конкурсу при собі необхідно мати паспорт громадянина України або інший документ, який посвідчу</w:t>
            </w:r>
            <w:r w:rsidR="00692DA8">
              <w:rPr>
                <w:rFonts w:cs="Verdana"/>
                <w:sz w:val="28"/>
                <w:szCs w:val="28"/>
                <w:lang w:val="uk-UA"/>
              </w:rPr>
              <w:t>є</w:t>
            </w:r>
            <w:r>
              <w:rPr>
                <w:rFonts w:cs="Verdana"/>
                <w:sz w:val="28"/>
                <w:szCs w:val="28"/>
                <w:lang w:val="uk-UA"/>
              </w:rPr>
              <w:t xml:space="preserve"> особу та підтверджу громадянство України</w:t>
            </w:r>
          </w:p>
        </w:tc>
      </w:tr>
      <w:tr w:rsidR="008D5C83" w:rsidRPr="001238F6"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uppressAutoHyphens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7F90" w:rsidRPr="00B57F90" w:rsidRDefault="00481ACC" w:rsidP="00B57F90">
            <w:pPr>
              <w:pStyle w:val="rvps1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Масцюх Ірина Леонідівна</w:t>
            </w:r>
          </w:p>
          <w:p w:rsidR="00B57F90" w:rsidRDefault="00B57F90" w:rsidP="00B57F90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</w:p>
          <w:p w:rsidR="00B57F90" w:rsidRPr="00B57F90" w:rsidRDefault="00B57F90" w:rsidP="00B57F90">
            <w:pPr>
              <w:pStyle w:val="rvps14"/>
              <w:spacing w:before="0" w:after="0"/>
              <w:rPr>
                <w:sz w:val="28"/>
                <w:szCs w:val="28"/>
                <w:lang w:val="uk-UA"/>
              </w:rPr>
            </w:pPr>
            <w:r w:rsidRPr="00B57F90">
              <w:rPr>
                <w:sz w:val="28"/>
                <w:szCs w:val="28"/>
                <w:lang w:val="uk-UA"/>
              </w:rPr>
              <w:t xml:space="preserve">тел. (0382) 70 47 26 </w:t>
            </w:r>
          </w:p>
          <w:p w:rsidR="00B57F90" w:rsidRDefault="00B57F90" w:rsidP="00B57F90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</w:p>
          <w:p w:rsidR="008D5C83" w:rsidRPr="001238F6" w:rsidRDefault="00D41D74" w:rsidP="00B57F90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hyperlink r:id="rId8" w:history="1">
              <w:r w:rsidR="00B57F90" w:rsidRPr="00B57F90">
                <w:rPr>
                  <w:rStyle w:val="a3"/>
                  <w:sz w:val="28"/>
                  <w:szCs w:val="28"/>
                  <w:lang w:val="uk-UA"/>
                </w:rPr>
                <w:t>kadr@km.pfu.gov.ua</w:t>
              </w:r>
            </w:hyperlink>
          </w:p>
        </w:tc>
      </w:tr>
    </w:tbl>
    <w:p w:rsidR="008D5C83" w:rsidRPr="001238F6" w:rsidRDefault="008D5C83">
      <w:pPr>
        <w:pStyle w:val="ac"/>
        <w:spacing w:before="0" w:after="0"/>
        <w:jc w:val="center"/>
        <w:rPr>
          <w:lang w:val="uk-UA"/>
        </w:rPr>
      </w:pPr>
      <w:r w:rsidRPr="001238F6">
        <w:rPr>
          <w:b/>
          <w:sz w:val="28"/>
          <w:szCs w:val="28"/>
          <w:lang w:val="uk-UA"/>
        </w:rPr>
        <w:t xml:space="preserve">Кваліфікаційні вимоги </w:t>
      </w:r>
    </w:p>
    <w:tbl>
      <w:tblPr>
        <w:tblW w:w="0" w:type="auto"/>
        <w:tblInd w:w="-5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307"/>
        <w:gridCol w:w="2591"/>
        <w:gridCol w:w="7319"/>
      </w:tblGrid>
      <w:tr w:rsidR="008D5C83" w:rsidRPr="001238F6" w:rsidTr="00692DA8">
        <w:trPr>
          <w:trHeight w:val="322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15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15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rPr>
                <w:sz w:val="28"/>
                <w:szCs w:val="28"/>
                <w:lang w:val="uk-UA"/>
              </w:rPr>
            </w:pPr>
            <w:r w:rsidRPr="00466849"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sz w:val="28"/>
                <w:szCs w:val="28"/>
                <w:lang w:val="uk-UA"/>
              </w:rPr>
              <w:t xml:space="preserve">за освітнім ступенем </w:t>
            </w:r>
            <w:r w:rsidRPr="00466849">
              <w:rPr>
                <w:sz w:val="28"/>
                <w:szCs w:val="28"/>
                <w:lang w:val="uk-UA"/>
              </w:rPr>
              <w:t xml:space="preserve">не нижче магістра </w:t>
            </w:r>
          </w:p>
        </w:tc>
      </w:tr>
      <w:tr w:rsidR="008D5C83" w:rsidRPr="001238F6" w:rsidTr="00692DA8">
        <w:trPr>
          <w:trHeight w:val="99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6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60" w:lineRule="atLeas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rPr>
                <w:sz w:val="28"/>
                <w:szCs w:val="28"/>
                <w:lang w:val="uk-UA"/>
              </w:rPr>
            </w:pPr>
            <w:r w:rsidRPr="00466849">
              <w:rPr>
                <w:sz w:val="28"/>
                <w:szCs w:val="28"/>
                <w:lang w:val="uk-UA"/>
              </w:rPr>
              <w:t xml:space="preserve">досвід роботи на посадах державної служби категорій “Б” чи “В”, або досвід роботи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>
              <w:rPr>
                <w:sz w:val="28"/>
                <w:szCs w:val="28"/>
                <w:lang w:val="uk-UA"/>
              </w:rPr>
              <w:t>власності не менше  двох  років</w:t>
            </w:r>
          </w:p>
        </w:tc>
      </w:tr>
      <w:tr w:rsidR="008D5C83" w:rsidRPr="001238F6" w:rsidTr="00692DA8">
        <w:trPr>
          <w:trHeight w:val="852"/>
        </w:trPr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/>
              <w:rPr>
                <w:lang w:val="uk-UA"/>
              </w:rPr>
            </w:pPr>
            <w:r w:rsidRPr="001238F6">
              <w:rPr>
                <w:caps/>
                <w:sz w:val="28"/>
                <w:szCs w:val="28"/>
                <w:lang w:val="uk-UA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5C83" w:rsidRPr="001238F6" w:rsidRDefault="008D5C83" w:rsidP="00466849">
            <w:pPr>
              <w:pStyle w:val="ac"/>
              <w:snapToGrid w:val="0"/>
              <w:spacing w:before="0" w:after="0" w:line="240" w:lineRule="exact"/>
              <w:rPr>
                <w:lang w:val="uk-UA"/>
              </w:rPr>
            </w:pPr>
            <w:r w:rsidRPr="001238F6"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5C83" w:rsidRPr="00466849" w:rsidRDefault="00466849" w:rsidP="00466849">
            <w:pPr>
              <w:pStyle w:val="ac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66849">
              <w:rPr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8D5C83" w:rsidRPr="001238F6" w:rsidTr="00692DA8">
        <w:trPr>
          <w:trHeight w:val="274"/>
        </w:trPr>
        <w:tc>
          <w:tcPr>
            <w:tcW w:w="10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pacing w:before="0" w:after="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8D5C83" w:rsidRPr="001238F6" w:rsidTr="00692DA8">
        <w:trPr>
          <w:trHeight w:val="270"/>
        </w:trPr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C83" w:rsidRPr="001238F6" w:rsidRDefault="008D5C83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36699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466849" w:rsidRDefault="00936699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Default="00936699">
            <w:pPr>
              <w:ind w:left="118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Лідерство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Default="00936699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вміння мотивувати до ефективної професійної   </w:t>
            </w:r>
          </w:p>
          <w:p w:rsidR="00936699" w:rsidRDefault="00936699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діяльності;</w:t>
            </w:r>
          </w:p>
          <w:p w:rsidR="00936699" w:rsidRDefault="00936699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сприяти всебічному розвитку особистості;</w:t>
            </w:r>
          </w:p>
          <w:p w:rsidR="00936699" w:rsidRDefault="00936699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вміння делегувати повноваження та управляти   </w:t>
            </w:r>
          </w:p>
          <w:p w:rsidR="00936699" w:rsidRDefault="00936699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результатами діяльності;</w:t>
            </w:r>
          </w:p>
          <w:p w:rsidR="00936699" w:rsidRDefault="00936699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здатність до формування ефективної  </w:t>
            </w:r>
          </w:p>
          <w:p w:rsidR="00936699" w:rsidRDefault="00936699">
            <w:pPr>
              <w:tabs>
                <w:tab w:val="left" w:pos="414"/>
              </w:tabs>
              <w:ind w:right="12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організаційної  культури державної служби</w:t>
            </w:r>
          </w:p>
        </w:tc>
      </w:tr>
      <w:tr w:rsidR="00936699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466849" w:rsidRDefault="00936699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Default="00936699">
            <w:pPr>
              <w:tabs>
                <w:tab w:val="left" w:pos="1903"/>
              </w:tabs>
              <w:spacing w:after="160" w:line="252" w:lineRule="auto"/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Default="00936699" w:rsidP="00936699">
            <w:pPr>
              <w:numPr>
                <w:ilvl w:val="0"/>
                <w:numId w:val="5"/>
              </w:numPr>
              <w:tabs>
                <w:tab w:val="left" w:pos="416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36699" w:rsidRDefault="00936699">
            <w:pPr>
              <w:tabs>
                <w:tab w:val="left" w:pos="271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орієнтація на командний результат;</w:t>
            </w:r>
          </w:p>
          <w:p w:rsidR="00936699" w:rsidRDefault="00936699" w:rsidP="00936699">
            <w:pPr>
              <w:numPr>
                <w:ilvl w:val="0"/>
                <w:numId w:val="5"/>
              </w:numPr>
              <w:tabs>
                <w:tab w:val="left" w:pos="363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936699" w:rsidRPr="00936699" w:rsidRDefault="00936699" w:rsidP="00936699">
            <w:pPr>
              <w:tabs>
                <w:tab w:val="left" w:pos="420"/>
              </w:tabs>
              <w:ind w:left="178" w:right="272"/>
              <w:jc w:val="both"/>
              <w:rPr>
                <w:color w:val="000000"/>
                <w:sz w:val="28"/>
                <w:szCs w:val="28"/>
              </w:rPr>
            </w:pPr>
            <w:r w:rsidRPr="00936699">
              <w:rPr>
                <w:rFonts w:eastAsia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6699">
              <w:rPr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936699" w:rsidRPr="001238F6" w:rsidTr="00936699">
        <w:trPr>
          <w:trHeight w:val="360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466849" w:rsidRDefault="00936699" w:rsidP="0085608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Default="00936699">
            <w:pPr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>Управління персоналом та організацію роботи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Default="00936699">
            <w:pPr>
              <w:tabs>
                <w:tab w:val="left" w:pos="1037"/>
              </w:tabs>
              <w:ind w:left="146" w:right="125"/>
              <w:contextualSpacing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 - делегування та управління результатами;</w:t>
            </w:r>
          </w:p>
          <w:p w:rsidR="00936699" w:rsidRDefault="00936699">
            <w:pPr>
              <w:tabs>
                <w:tab w:val="left" w:pos="1037"/>
              </w:tabs>
              <w:ind w:right="125"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   - чітке бачення цілі;</w:t>
            </w:r>
          </w:p>
          <w:p w:rsidR="00936699" w:rsidRDefault="00936699" w:rsidP="00936699">
            <w:pPr>
              <w:tabs>
                <w:tab w:val="left" w:pos="1037"/>
              </w:tabs>
              <w:ind w:right="125"/>
              <w:jc w:val="both"/>
              <w:rPr>
                <w:rFonts w:eastAsia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   - ефективне управління ресурсами;</w:t>
            </w:r>
          </w:p>
          <w:p w:rsidR="00936699" w:rsidRPr="00936699" w:rsidRDefault="00936699" w:rsidP="00936699">
            <w:pPr>
              <w:tabs>
                <w:tab w:val="left" w:pos="1037"/>
              </w:tabs>
              <w:ind w:right="125"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  - </w:t>
            </w:r>
            <w:r w:rsidRPr="00936699">
              <w:rPr>
                <w:rFonts w:eastAsia="Times New Roman"/>
                <w:sz w:val="28"/>
                <w:szCs w:val="28"/>
                <w:highlight w:val="white"/>
              </w:rPr>
              <w:t>управління мотивацію</w:t>
            </w:r>
          </w:p>
        </w:tc>
      </w:tr>
      <w:tr w:rsidR="00936699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B34683" w:rsidRDefault="00936699" w:rsidP="008560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Default="0093669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Встановлення цілей, приорітетів та орінтирів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Default="00936699" w:rsidP="00936699">
            <w:pPr>
              <w:numPr>
                <w:ilvl w:val="0"/>
                <w:numId w:val="5"/>
              </w:numPr>
              <w:tabs>
                <w:tab w:val="left" w:pos="332"/>
              </w:tabs>
              <w:ind w:left="146" w:right="272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уміння встановлювати чіткі, реальні, досяжні групові чи індивідуальні цілі та пріоритети;</w:t>
            </w:r>
          </w:p>
          <w:p w:rsidR="00936699" w:rsidRDefault="00936699">
            <w:pPr>
              <w:ind w:left="146" w:right="125"/>
              <w:jc w:val="both"/>
              <w:rPr>
                <w:rFonts w:eastAsia="Times New Roman"/>
                <w:sz w:val="28"/>
                <w:szCs w:val="28"/>
                <w:highlight w:val="white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уміння визначати орієнтири для досягнення групових чи індивідуальних цілей</w:t>
            </w:r>
            <w:r>
              <w:rPr>
                <w:rFonts w:eastAsia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936699" w:rsidRPr="001238F6" w:rsidTr="00692DA8">
        <w:trPr>
          <w:trHeight w:val="1088"/>
        </w:trPr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B34683" w:rsidRDefault="00936699" w:rsidP="0085608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3468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Default="00936699">
            <w:pPr>
              <w:spacing w:after="160" w:line="252" w:lineRule="auto"/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Default="00936699" w:rsidP="00936699">
            <w:pPr>
              <w:numPr>
                <w:ilvl w:val="0"/>
                <w:numId w:val="5"/>
              </w:numPr>
              <w:tabs>
                <w:tab w:val="left" w:pos="346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36699" w:rsidRDefault="00936699" w:rsidP="00936699">
            <w:pPr>
              <w:numPr>
                <w:ilvl w:val="0"/>
                <w:numId w:val="5"/>
              </w:numPr>
              <w:tabs>
                <w:tab w:val="left" w:pos="346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36699" w:rsidRDefault="00936699" w:rsidP="00936699">
            <w:pPr>
              <w:numPr>
                <w:ilvl w:val="0"/>
                <w:numId w:val="5"/>
              </w:numPr>
              <w:tabs>
                <w:tab w:val="left" w:pos="361"/>
              </w:tabs>
              <w:suppressAutoHyphens w:val="0"/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36699" w:rsidRPr="001238F6" w:rsidTr="00692DA8">
        <w:trPr>
          <w:trHeight w:val="345"/>
        </w:trPr>
        <w:tc>
          <w:tcPr>
            <w:tcW w:w="102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Pr="00466849" w:rsidRDefault="00936699" w:rsidP="00466849">
            <w:pPr>
              <w:pStyle w:val="ac"/>
              <w:snapToGrid w:val="0"/>
              <w:spacing w:before="0" w:after="0" w:line="120" w:lineRule="atLeast"/>
              <w:ind w:left="360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36699" w:rsidRPr="001238F6" w:rsidTr="00692DA8">
        <w:trPr>
          <w:trHeight w:val="120"/>
        </w:trPr>
        <w:tc>
          <w:tcPr>
            <w:tcW w:w="28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1238F6" w:rsidRDefault="00936699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Pr="001238F6" w:rsidRDefault="00936699">
            <w:pPr>
              <w:pStyle w:val="ac"/>
              <w:snapToGrid w:val="0"/>
              <w:spacing w:before="0" w:after="0" w:line="120" w:lineRule="atLeast"/>
              <w:jc w:val="center"/>
              <w:rPr>
                <w:lang w:val="uk-UA"/>
              </w:rPr>
            </w:pPr>
            <w:r w:rsidRPr="001238F6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36699" w:rsidRPr="001238F6" w:rsidTr="00692DA8">
        <w:tc>
          <w:tcPr>
            <w:tcW w:w="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1238F6" w:rsidRDefault="00936699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238F6"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692DA8" w:rsidRDefault="00936699">
            <w:pPr>
              <w:spacing w:after="20"/>
              <w:ind w:left="120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7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Pr="00692DA8" w:rsidRDefault="00936699">
            <w:pPr>
              <w:tabs>
                <w:tab w:val="left" w:pos="129"/>
              </w:tabs>
              <w:spacing w:after="20"/>
              <w:ind w:left="135" w:right="120" w:firstLine="148"/>
              <w:jc w:val="both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Знання:</w:t>
            </w:r>
          </w:p>
          <w:p w:rsidR="00936699" w:rsidRPr="00692DA8" w:rsidRDefault="00936699">
            <w:pPr>
              <w:tabs>
                <w:tab w:val="left" w:pos="129"/>
              </w:tabs>
              <w:spacing w:after="20"/>
              <w:ind w:left="135" w:right="120" w:firstLine="148"/>
              <w:jc w:val="both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Конституції України;</w:t>
            </w:r>
          </w:p>
          <w:p w:rsidR="00936699" w:rsidRPr="00692DA8" w:rsidRDefault="00936699">
            <w:pPr>
              <w:tabs>
                <w:tab w:val="left" w:pos="129"/>
              </w:tabs>
              <w:spacing w:after="20"/>
              <w:ind w:left="135" w:right="120" w:firstLine="148"/>
              <w:jc w:val="both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Закону України «Про державну службу»;</w:t>
            </w:r>
          </w:p>
          <w:p w:rsidR="00936699" w:rsidRPr="00692DA8" w:rsidRDefault="00936699">
            <w:pPr>
              <w:pStyle w:val="afb"/>
              <w:spacing w:line="256" w:lineRule="auto"/>
              <w:ind w:firstLine="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2DA8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99" w:rsidRPr="00692DA8" w:rsidRDefault="00936699" w:rsidP="00481ACC">
            <w:pPr>
              <w:pStyle w:val="afb"/>
              <w:spacing w:line="256" w:lineRule="auto"/>
              <w:ind w:firstLine="148"/>
              <w:rPr>
                <w:rFonts w:eastAsia="Times New Roman"/>
                <w:sz w:val="28"/>
                <w:szCs w:val="28"/>
              </w:rPr>
            </w:pPr>
          </w:p>
        </w:tc>
      </w:tr>
      <w:tr w:rsidR="00936699" w:rsidRPr="00936699" w:rsidTr="00692DA8">
        <w:tc>
          <w:tcPr>
            <w:tcW w:w="307" w:type="dxa"/>
            <w:tcBorders>
              <w:left w:val="single" w:sz="4" w:space="0" w:color="000001"/>
            </w:tcBorders>
            <w:shd w:val="clear" w:color="auto" w:fill="auto"/>
          </w:tcPr>
          <w:p w:rsidR="00936699" w:rsidRPr="001A0719" w:rsidRDefault="00936699">
            <w:pPr>
              <w:pStyle w:val="ac"/>
              <w:snapToGrid w:val="0"/>
              <w:spacing w:before="0" w:after="0"/>
              <w:jc w:val="center"/>
              <w:rPr>
                <w:lang w:val="uk-UA"/>
              </w:rPr>
            </w:pPr>
            <w:r w:rsidRPr="001A0719">
              <w:rPr>
                <w:caps/>
                <w:sz w:val="28"/>
                <w:szCs w:val="28"/>
                <w:lang w:val="uk-UA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1"/>
            </w:tcBorders>
            <w:shd w:val="clear" w:color="auto" w:fill="auto"/>
          </w:tcPr>
          <w:p w:rsidR="00936699" w:rsidRPr="00692DA8" w:rsidRDefault="00936699">
            <w:pPr>
              <w:spacing w:after="20"/>
              <w:ind w:left="118"/>
              <w:rPr>
                <w:rFonts w:eastAsia="Times New Roman"/>
                <w:sz w:val="28"/>
                <w:szCs w:val="28"/>
              </w:rPr>
            </w:pPr>
            <w:r w:rsidRPr="00692DA8">
              <w:rPr>
                <w:rFonts w:eastAsia="Times New Roman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73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Pr="00936699" w:rsidRDefault="00936699" w:rsidP="00936699">
            <w:pPr>
              <w:widowControl/>
              <w:tabs>
                <w:tab w:val="left" w:pos="522"/>
              </w:tabs>
              <w:suppressAutoHyphens w:val="0"/>
              <w:spacing w:after="20"/>
              <w:ind w:left="135" w:right="125" w:firstLine="91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93669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Знання:</w:t>
            </w:r>
          </w:p>
          <w:p w:rsidR="00936699" w:rsidRPr="00936699" w:rsidRDefault="00936699" w:rsidP="00936699">
            <w:pPr>
              <w:widowControl/>
              <w:tabs>
                <w:tab w:val="left" w:pos="129"/>
              </w:tabs>
              <w:suppressAutoHyphens w:val="0"/>
              <w:spacing w:after="20"/>
              <w:ind w:right="12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 </w:t>
            </w:r>
            <w:r w:rsidRPr="0093669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Бюджетного кодексу України;</w:t>
            </w:r>
          </w:p>
          <w:p w:rsidR="00936699" w:rsidRPr="00936699" w:rsidRDefault="00936699" w:rsidP="00936699">
            <w:pPr>
              <w:widowControl/>
              <w:suppressAutoHyphens w:val="0"/>
              <w:spacing w:after="20"/>
              <w:ind w:left="135" w:right="12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93669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Постанови Кабінету Міністрів України від  28.09.2011 </w:t>
            </w:r>
            <w:r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  </w:t>
            </w:r>
            <w:r w:rsidRPr="0093669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№1001 «Деякі питання здійснення внутрішнього аудиту та утворення підрозділів внутрішнього аудиту»;</w:t>
            </w:r>
          </w:p>
          <w:p w:rsidR="00936699" w:rsidRPr="00936699" w:rsidRDefault="00936699" w:rsidP="00936699">
            <w:pPr>
              <w:widowControl/>
              <w:suppressAutoHyphens w:val="0"/>
              <w:spacing w:after="20"/>
              <w:ind w:left="135" w:right="120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 w:rsidRPr="0093669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Постанови Кабінету Міністрів України «Про затвердження Основних засад здійснення внутрішнього контролю розпорядниками бюджетних коштів та внесення змін до постанови КМУ від 28.09.2011 №1001»;</w:t>
            </w:r>
          </w:p>
          <w:p w:rsidR="00936699" w:rsidRPr="00936699" w:rsidRDefault="00936699" w:rsidP="00936699">
            <w:pPr>
              <w:widowControl/>
              <w:suppressAutoHyphens w:val="0"/>
              <w:spacing w:after="20"/>
              <w:ind w:left="84" w:right="120" w:hanging="226"/>
              <w:jc w:val="both"/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  </w:t>
            </w:r>
            <w:r w:rsidRPr="0093669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Інструкції про організацію планування та проведення </w:t>
            </w:r>
            <w:r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 xml:space="preserve">  </w:t>
            </w:r>
            <w:r w:rsidRPr="00936699">
              <w:rPr>
                <w:rFonts w:eastAsia="Times New Roman"/>
                <w:color w:val="auto"/>
                <w:sz w:val="28"/>
                <w:szCs w:val="28"/>
                <w:lang w:val="uk-UA" w:eastAsia="uk-UA"/>
              </w:rPr>
              <w:t>контрольних заходів в Пенсійному фонді України та його органах , затверджена Постановою правління ПФУ від 17.12.2015 №26-3</w:t>
            </w:r>
          </w:p>
          <w:p w:rsidR="00936699" w:rsidRPr="00936699" w:rsidRDefault="00936699" w:rsidP="00936699">
            <w:pPr>
              <w:snapToGrid w:val="0"/>
              <w:ind w:left="226" w:firstLine="142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936699" w:rsidRPr="00936699" w:rsidTr="00692DA8">
        <w:tc>
          <w:tcPr>
            <w:tcW w:w="3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1A0719" w:rsidRDefault="00936699" w:rsidP="00692DA8">
            <w:pPr>
              <w:pStyle w:val="ac"/>
              <w:snapToGrid w:val="0"/>
              <w:spacing w:before="0" w:after="0"/>
              <w:rPr>
                <w:caps/>
                <w:sz w:val="28"/>
                <w:szCs w:val="28"/>
                <w:lang w:val="uk-UA"/>
              </w:rPr>
            </w:pPr>
          </w:p>
        </w:tc>
        <w:tc>
          <w:tcPr>
            <w:tcW w:w="25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36699" w:rsidRPr="001A0719" w:rsidRDefault="00936699" w:rsidP="0085608D">
            <w:pPr>
              <w:spacing w:after="20"/>
              <w:ind w:left="118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73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36699" w:rsidRPr="001A0719" w:rsidRDefault="00936699" w:rsidP="00C91D34">
            <w:pPr>
              <w:tabs>
                <w:tab w:val="left" w:pos="522"/>
              </w:tabs>
              <w:spacing w:after="20"/>
              <w:ind w:right="125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4444B7" w:rsidRDefault="004444B7" w:rsidP="004444B7">
      <w:pPr>
        <w:pStyle w:val="ac"/>
        <w:widowControl/>
        <w:tabs>
          <w:tab w:val="left" w:pos="753"/>
        </w:tabs>
        <w:suppressAutoHyphens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p w:rsidR="008D5C83" w:rsidRPr="001238F6" w:rsidRDefault="008D5C83">
      <w:pPr>
        <w:pStyle w:val="ac"/>
        <w:widowControl/>
        <w:tabs>
          <w:tab w:val="left" w:pos="753"/>
        </w:tabs>
        <w:suppressAutoHyphens/>
        <w:spacing w:before="0" w:after="0"/>
        <w:jc w:val="both"/>
        <w:rPr>
          <w:sz w:val="28"/>
          <w:szCs w:val="28"/>
          <w:lang w:val="uk-UA"/>
        </w:rPr>
      </w:pPr>
    </w:p>
    <w:p w:rsidR="00FE24BF" w:rsidRPr="001238F6" w:rsidRDefault="00FE24BF">
      <w:pPr>
        <w:pStyle w:val="ac"/>
        <w:widowControl/>
        <w:tabs>
          <w:tab w:val="left" w:pos="753"/>
        </w:tabs>
        <w:suppressAutoHyphens/>
        <w:spacing w:before="0" w:after="0"/>
        <w:jc w:val="both"/>
        <w:rPr>
          <w:lang w:val="uk-UA"/>
        </w:rPr>
      </w:pPr>
    </w:p>
    <w:sectPr w:rsidR="00FE24BF" w:rsidRPr="001238F6">
      <w:headerReference w:type="default" r:id="rId9"/>
      <w:headerReference w:type="first" r:id="rId10"/>
      <w:pgSz w:w="11906" w:h="16838"/>
      <w:pgMar w:top="993" w:right="70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09" w:rsidRDefault="00565A09">
      <w:r>
        <w:separator/>
      </w:r>
    </w:p>
  </w:endnote>
  <w:endnote w:type="continuationSeparator" w:id="0">
    <w:p w:rsidR="00565A09" w:rsidRDefault="005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09" w:rsidRDefault="00565A09">
      <w:r>
        <w:separator/>
      </w:r>
    </w:p>
  </w:footnote>
  <w:footnote w:type="continuationSeparator" w:id="0">
    <w:p w:rsidR="00565A09" w:rsidRDefault="0056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83" w:rsidRDefault="005B771C">
    <w:pPr>
      <w:pStyle w:val="af2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213360"/>
              <wp:effectExtent l="3810" t="635" r="0" b="0"/>
              <wp:wrapSquare wrapText="largest"/>
              <wp:docPr id="2" name="Рам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24BF" w:rsidRDefault="00FE24BF"/>
                      </w:txbxContent>
                    </wps:txbx>
                    <wps:bodyPr rot="0" vert="horz" wrap="square" lIns="1440" tIns="1440" rIns="1440" bIns="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Рамка1" o:spid="_x0000_s1026" style="position:absolute;margin-left:0;margin-top:.05pt;width:9.05pt;height:16.8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" filled="f" stroked="f" strokecolor="#3465a4">
              <v:stroke joinstyle="round"/>
              <v:textbox inset=".04mm,.04mm,.04mm,.04mm">
                <w:txbxContent>
                  <w:p w:rsidR="00FE24BF" w:rsidRDefault="00FE24BF"/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72390" distB="7239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457835</wp:posOffset>
              </wp:positionV>
              <wp:extent cx="114935" cy="213360"/>
              <wp:effectExtent l="3810" t="635" r="508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13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C83" w:rsidRDefault="008D5C83">
                          <w:pPr>
                            <w:pStyle w:val="af2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D41D74"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6.05pt;width:9.05pt;height:16.8pt;z-index:251658240;visibility:visible;mso-wrap-style:square;mso-width-percent:0;mso-height-percent:0;mso-wrap-distance-left:0;mso-wrap-distance-top:5.7pt;mso-wrap-distance-right:0;mso-wrap-distance-bottom:5.7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" stroked="f">
              <v:fill opacity="0"/>
              <v:textbox inset=".1pt,.1pt,.1pt,.1pt">
                <w:txbxContent>
                  <w:p w:rsidR="008D5C83" w:rsidRDefault="008D5C83">
                    <w:pPr>
                      <w:pStyle w:val="af2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D41D74"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83" w:rsidRDefault="008D5C8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BA14AB"/>
    <w:multiLevelType w:val="hybridMultilevel"/>
    <w:tmpl w:val="5FD4B45C"/>
    <w:lvl w:ilvl="0" w:tplc="CB0417C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CD140A"/>
    <w:multiLevelType w:val="multilevel"/>
    <w:tmpl w:val="F8F459A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F"/>
    <w:rsid w:val="00022A96"/>
    <w:rsid w:val="001238F6"/>
    <w:rsid w:val="0014428A"/>
    <w:rsid w:val="00176AC6"/>
    <w:rsid w:val="001A0719"/>
    <w:rsid w:val="00263DBA"/>
    <w:rsid w:val="00276B4A"/>
    <w:rsid w:val="003234EF"/>
    <w:rsid w:val="00356DCE"/>
    <w:rsid w:val="003C1472"/>
    <w:rsid w:val="00411479"/>
    <w:rsid w:val="00416D22"/>
    <w:rsid w:val="004444B7"/>
    <w:rsid w:val="00466849"/>
    <w:rsid w:val="00481ACC"/>
    <w:rsid w:val="00565A09"/>
    <w:rsid w:val="005B771C"/>
    <w:rsid w:val="00611A9A"/>
    <w:rsid w:val="00634168"/>
    <w:rsid w:val="00692DA8"/>
    <w:rsid w:val="006E3C26"/>
    <w:rsid w:val="007244B2"/>
    <w:rsid w:val="0076024B"/>
    <w:rsid w:val="0085608D"/>
    <w:rsid w:val="008D5C83"/>
    <w:rsid w:val="008E69AB"/>
    <w:rsid w:val="00936699"/>
    <w:rsid w:val="00A76EF2"/>
    <w:rsid w:val="00B57F90"/>
    <w:rsid w:val="00BE24D9"/>
    <w:rsid w:val="00C91D34"/>
    <w:rsid w:val="00D06704"/>
    <w:rsid w:val="00D220E1"/>
    <w:rsid w:val="00D416AF"/>
    <w:rsid w:val="00D41D74"/>
    <w:rsid w:val="00DC787D"/>
    <w:rsid w:val="00DD5519"/>
    <w:rsid w:val="00DE1676"/>
    <w:rsid w:val="00E87DF3"/>
    <w:rsid w:val="00F37331"/>
    <w:rsid w:val="00F403EB"/>
    <w:rsid w:val="00F62FF6"/>
    <w:rsid w:val="00F8753A"/>
    <w:rsid w:val="00FA444D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lang w:val="uk-UA"/>
    </w:rPr>
  </w:style>
  <w:style w:type="character" w:customStyle="1" w:styleId="WW8Num7z0">
    <w:name w:val="WW8Num7z0"/>
    <w:rPr>
      <w:lang w:val="uk-UA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uk-U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Andale Sans UI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2ztrue">
    <w:name w:val="WW8Num2ztrue"/>
  </w:style>
  <w:style w:type="character" w:customStyle="1" w:styleId="rvts9">
    <w:name w:val="rvts9"/>
  </w:style>
  <w:style w:type="character" w:customStyle="1" w:styleId="a4">
    <w:name w:val="Символ нумерации"/>
  </w:style>
  <w:style w:type="character" w:styleId="a5">
    <w:name w:val="page number"/>
    <w:basedOn w:val="4"/>
  </w:style>
  <w:style w:type="character" w:customStyle="1" w:styleId="rvts15">
    <w:name w:val="rvts15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Noto Sans Symbol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Noto Sans Symbol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Noto Sans Symbol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ascii="Arial" w:hAnsi="Arial" w:cs="Mangal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c">
    <w:name w:val="Normal (Web)"/>
    <w:basedOn w:val="a"/>
    <w:pPr>
      <w:suppressAutoHyphens w:val="0"/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119"/>
    </w:pPr>
    <w:rPr>
      <w:color w:val="000000"/>
    </w:rPr>
  </w:style>
  <w:style w:type="paragraph" w:customStyle="1" w:styleId="af1">
    <w:name w:val="Верхній і нижній колонтитули"/>
    <w:basedOn w:val="a"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сновной текст 23"/>
    <w:basedOn w:val="a"/>
    <w:pPr>
      <w:widowControl/>
      <w:spacing w:after="120" w:line="48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af3">
    <w:name w:val="List Paragraph"/>
    <w:basedOn w:val="a"/>
    <w:uiPriority w:val="34"/>
    <w:qFormat/>
    <w:pPr>
      <w:widowControl/>
      <w:ind w:left="708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widowControl/>
      <w:ind w:firstLine="709"/>
      <w:jc w:val="both"/>
    </w:pPr>
    <w:rPr>
      <w:rFonts w:ascii="Arial" w:eastAsia="Times New Roman" w:hAnsi="Arial" w:cs="Arial"/>
      <w:sz w:val="26"/>
      <w:szCs w:val="20"/>
      <w:lang w:val="uk-UA"/>
    </w:rPr>
  </w:style>
  <w:style w:type="paragraph" w:customStyle="1" w:styleId="af6">
    <w:name w:val="Содержимое врезки"/>
    <w:basedOn w:val="a"/>
  </w:style>
  <w:style w:type="paragraph" w:customStyle="1" w:styleId="af7">
    <w:name w:val="Вміст рамки"/>
    <w:basedOn w:val="a"/>
  </w:style>
  <w:style w:type="paragraph" w:customStyle="1" w:styleId="af8">
    <w:name w:val="Звичайний"/>
    <w:pPr>
      <w:widowControl w:val="0"/>
      <w:suppressAutoHyphens/>
    </w:pPr>
    <w:rPr>
      <w:rFonts w:ascii="Liberation Serif" w:eastAsia="NSimSun" w:hAnsi="Liberation Serif" w:cs="Lucida Sans"/>
      <w:color w:val="00000A"/>
      <w:szCs w:val="24"/>
      <w:lang w:val="uk-UA" w:eastAsia="zh-CN" w:bidi="hi-IN"/>
    </w:rPr>
  </w:style>
  <w:style w:type="paragraph" w:customStyle="1" w:styleId="210">
    <w:name w:val="Основной текст с отступом 21"/>
    <w:basedOn w:val="af8"/>
    <w:pPr>
      <w:ind w:right="43" w:firstLine="720"/>
      <w:jc w:val="both"/>
    </w:pPr>
    <w:rPr>
      <w:rFonts w:ascii="Times New Roman" w:hAnsi="Times New Roman" w:cs="Times New Roman"/>
      <w:sz w:val="28"/>
      <w:szCs w:val="20"/>
      <w:lang w:bidi="ar-SA"/>
    </w:rPr>
  </w:style>
  <w:style w:type="paragraph" w:customStyle="1" w:styleId="FrameContents">
    <w:name w:val="Frame Contents"/>
    <w:basedOn w:val="a"/>
  </w:style>
  <w:style w:type="paragraph" w:customStyle="1" w:styleId="rvps14">
    <w:name w:val="rvps14"/>
    <w:basedOn w:val="a"/>
    <w:rsid w:val="00B57F90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D416AF"/>
    <w:rPr>
      <w:rFonts w:ascii="Tahoma" w:eastAsia="Andale Sans UI" w:hAnsi="Tahoma" w:cs="Tahoma"/>
      <w:color w:val="00000A"/>
      <w:sz w:val="16"/>
      <w:szCs w:val="16"/>
      <w:lang w:eastAsia="zh-CN"/>
    </w:rPr>
  </w:style>
  <w:style w:type="paragraph" w:styleId="afb">
    <w:name w:val="No Spacing"/>
    <w:uiPriority w:val="1"/>
    <w:qFormat/>
    <w:rsid w:val="00692DA8"/>
    <w:rPr>
      <w:rFonts w:ascii="Calibri" w:eastAsia="Calibri" w:hAnsi="Calibri" w:cs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4z0">
    <w:name w:val="WW8Num4z0"/>
    <w:rPr>
      <w:lang w:val="uk-UA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hAnsi="Times New Roman" w:cs="Times New Roman"/>
      <w:lang w:val="uk-UA"/>
    </w:rPr>
  </w:style>
  <w:style w:type="character" w:customStyle="1" w:styleId="WW8Num7z0">
    <w:name w:val="WW8Num7z0"/>
    <w:rPr>
      <w:lang w:val="uk-UA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uk-U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Andale Sans UI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4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WW8Num2ztrue">
    <w:name w:val="WW8Num2ztrue"/>
  </w:style>
  <w:style w:type="character" w:customStyle="1" w:styleId="rvts9">
    <w:name w:val="rvts9"/>
  </w:style>
  <w:style w:type="character" w:customStyle="1" w:styleId="a4">
    <w:name w:val="Символ нумерации"/>
  </w:style>
  <w:style w:type="character" w:styleId="a5">
    <w:name w:val="page number"/>
    <w:basedOn w:val="4"/>
  </w:style>
  <w:style w:type="character" w:customStyle="1" w:styleId="rvts15">
    <w:name w:val="rvts15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Noto Sans Symbol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Noto Sans Symbol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Noto Sans Symbol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ascii="Arial" w:hAnsi="Arial" w:cs="Mangal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rvps2">
    <w:name w:val="rvps2"/>
    <w:basedOn w:val="a"/>
    <w:pPr>
      <w:spacing w:before="280" w:after="280"/>
    </w:pPr>
  </w:style>
  <w:style w:type="paragraph" w:styleId="ac">
    <w:name w:val="Normal (Web)"/>
    <w:basedOn w:val="a"/>
    <w:pPr>
      <w:suppressAutoHyphens w:val="0"/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western">
    <w:name w:val="western"/>
    <w:basedOn w:val="a"/>
    <w:pPr>
      <w:suppressAutoHyphens w:val="0"/>
      <w:spacing w:before="280" w:after="119"/>
    </w:pPr>
    <w:rPr>
      <w:color w:val="000000"/>
    </w:rPr>
  </w:style>
  <w:style w:type="paragraph" w:customStyle="1" w:styleId="af1">
    <w:name w:val="Верхній і нижній колонтитули"/>
    <w:basedOn w:val="a"/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сновной текст 23"/>
    <w:basedOn w:val="a"/>
    <w:pPr>
      <w:widowControl/>
      <w:spacing w:after="120" w:line="48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af3">
    <w:name w:val="List Paragraph"/>
    <w:basedOn w:val="a"/>
    <w:uiPriority w:val="34"/>
    <w:qFormat/>
    <w:pPr>
      <w:widowControl/>
      <w:ind w:left="708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widowControl/>
      <w:ind w:firstLine="709"/>
      <w:jc w:val="both"/>
    </w:pPr>
    <w:rPr>
      <w:rFonts w:ascii="Arial" w:eastAsia="Times New Roman" w:hAnsi="Arial" w:cs="Arial"/>
      <w:sz w:val="26"/>
      <w:szCs w:val="20"/>
      <w:lang w:val="uk-UA"/>
    </w:rPr>
  </w:style>
  <w:style w:type="paragraph" w:customStyle="1" w:styleId="af6">
    <w:name w:val="Содержимое врезки"/>
    <w:basedOn w:val="a"/>
  </w:style>
  <w:style w:type="paragraph" w:customStyle="1" w:styleId="af7">
    <w:name w:val="Вміст рамки"/>
    <w:basedOn w:val="a"/>
  </w:style>
  <w:style w:type="paragraph" w:customStyle="1" w:styleId="af8">
    <w:name w:val="Звичайний"/>
    <w:pPr>
      <w:widowControl w:val="0"/>
      <w:suppressAutoHyphens/>
    </w:pPr>
    <w:rPr>
      <w:rFonts w:ascii="Liberation Serif" w:eastAsia="NSimSun" w:hAnsi="Liberation Serif" w:cs="Lucida Sans"/>
      <w:color w:val="00000A"/>
      <w:szCs w:val="24"/>
      <w:lang w:val="uk-UA" w:eastAsia="zh-CN" w:bidi="hi-IN"/>
    </w:rPr>
  </w:style>
  <w:style w:type="paragraph" w:customStyle="1" w:styleId="210">
    <w:name w:val="Основной текст с отступом 21"/>
    <w:basedOn w:val="af8"/>
    <w:pPr>
      <w:ind w:right="43" w:firstLine="720"/>
      <w:jc w:val="both"/>
    </w:pPr>
    <w:rPr>
      <w:rFonts w:ascii="Times New Roman" w:hAnsi="Times New Roman" w:cs="Times New Roman"/>
      <w:sz w:val="28"/>
      <w:szCs w:val="20"/>
      <w:lang w:bidi="ar-SA"/>
    </w:rPr>
  </w:style>
  <w:style w:type="paragraph" w:customStyle="1" w:styleId="FrameContents">
    <w:name w:val="Frame Contents"/>
    <w:basedOn w:val="a"/>
  </w:style>
  <w:style w:type="paragraph" w:customStyle="1" w:styleId="rvps14">
    <w:name w:val="rvps14"/>
    <w:basedOn w:val="a"/>
    <w:rsid w:val="00B57F90"/>
    <w:pPr>
      <w:widowControl/>
      <w:spacing w:before="280" w:after="280"/>
    </w:pPr>
    <w:rPr>
      <w:rFonts w:eastAsia="Times New Roman"/>
      <w:color w:val="auto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D416AF"/>
    <w:rPr>
      <w:rFonts w:ascii="Tahoma" w:eastAsia="Andale Sans UI" w:hAnsi="Tahoma" w:cs="Tahoma"/>
      <w:color w:val="00000A"/>
      <w:sz w:val="16"/>
      <w:szCs w:val="16"/>
      <w:lang w:eastAsia="zh-CN"/>
    </w:rPr>
  </w:style>
  <w:style w:type="paragraph" w:styleId="afb">
    <w:name w:val="No Spacing"/>
    <w:uiPriority w:val="1"/>
    <w:qFormat/>
    <w:rsid w:val="00692DA8"/>
    <w:rPr>
      <w:rFonts w:ascii="Calibri" w:eastAsia="Calibri" w:hAnsi="Calibri" w:cs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@km.pf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5707</Words>
  <Characters>3254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12</vt:lpstr>
    </vt:vector>
  </TitlesOfParts>
  <Company/>
  <LinksUpToDate>false</LinksUpToDate>
  <CharactersWithSpaces>8944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mailto:kadr@km.pfu.gov.ua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12</dc:title>
  <dc:creator>Веселова</dc:creator>
  <cp:lastModifiedBy>kadry21</cp:lastModifiedBy>
  <cp:revision>7</cp:revision>
  <cp:lastPrinted>2021-06-04T08:34:00Z</cp:lastPrinted>
  <dcterms:created xsi:type="dcterms:W3CDTF">2021-06-02T08:16:00Z</dcterms:created>
  <dcterms:modified xsi:type="dcterms:W3CDTF">2021-06-09T11:53:00Z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