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50E2" w:rsidRDefault="00D150E2" w:rsidP="00D150E2">
      <w:pPr>
        <w:keepNext/>
        <w:spacing w:line="240" w:lineRule="auto"/>
        <w:ind w:left="567" w:firstLine="5529"/>
        <w:jc w:val="left"/>
        <w:outlineLvl w:val="2"/>
        <w:rPr>
          <w:szCs w:val="28"/>
          <w:lang w:val="ru-RU"/>
        </w:rPr>
      </w:pPr>
      <w:r>
        <w:rPr>
          <w:szCs w:val="28"/>
        </w:rPr>
        <w:t>ЗАТВЕРДЖЕНО</w:t>
      </w:r>
    </w:p>
    <w:p w:rsidR="00D150E2" w:rsidRDefault="00D150E2" w:rsidP="00D150E2">
      <w:pPr>
        <w:keepNext/>
        <w:spacing w:line="240" w:lineRule="auto"/>
        <w:ind w:left="6096" w:firstLine="0"/>
        <w:jc w:val="left"/>
        <w:outlineLvl w:val="2"/>
        <w:rPr>
          <w:szCs w:val="28"/>
        </w:rPr>
      </w:pPr>
      <w:r>
        <w:rPr>
          <w:szCs w:val="28"/>
        </w:rPr>
        <w:t>Наказом Головного управління Пенсійного фонду України в м. Києві</w:t>
      </w:r>
    </w:p>
    <w:p w:rsidR="00D150E2" w:rsidRDefault="00D150E2" w:rsidP="00D150E2">
      <w:pPr>
        <w:spacing w:line="240" w:lineRule="auto"/>
        <w:ind w:left="6096" w:firstLine="0"/>
        <w:jc w:val="left"/>
        <w:rPr>
          <w:szCs w:val="28"/>
        </w:rPr>
      </w:pPr>
      <w:r>
        <w:rPr>
          <w:szCs w:val="28"/>
        </w:rPr>
        <w:t xml:space="preserve">від  </w:t>
      </w:r>
      <w:r>
        <w:rPr>
          <w:szCs w:val="28"/>
          <w:u w:val="single"/>
        </w:rPr>
        <w:t xml:space="preserve">06. 02.2025   </w:t>
      </w:r>
      <w:r>
        <w:rPr>
          <w:szCs w:val="28"/>
        </w:rPr>
        <w:t xml:space="preserve">    № </w:t>
      </w:r>
      <w:r>
        <w:rPr>
          <w:szCs w:val="28"/>
          <w:u w:val="single"/>
        </w:rPr>
        <w:t>148-О</w:t>
      </w:r>
    </w:p>
    <w:p w:rsidR="00D35FCE" w:rsidRDefault="00501F56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УМОВИ</w:t>
      </w:r>
    </w:p>
    <w:p w:rsidR="00D35FCE" w:rsidRDefault="00501F56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проведення добору</w:t>
      </w:r>
    </w:p>
    <w:p w:rsidR="00D35FCE" w:rsidRDefault="00501F56">
      <w:pPr>
        <w:ind w:firstLine="0"/>
        <w:jc w:val="center"/>
        <w:rPr>
          <w:szCs w:val="28"/>
        </w:rPr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відділу з питань призначення та перерахунків пенсій військовослужбовців та деяких інших категорій громадян  </w:t>
      </w:r>
      <w:r>
        <w:rPr>
          <w:szCs w:val="28"/>
        </w:rPr>
        <w:t>управління пенсійного забезпечення, надання страхових виплат, соціальних послуг</w:t>
      </w:r>
      <w:r w:rsidR="002931E9">
        <w:rPr>
          <w:szCs w:val="28"/>
        </w:rPr>
        <w:t xml:space="preserve">, житлових субсидій та пільг – </w:t>
      </w:r>
      <w:r w:rsidR="000C4A38">
        <w:rPr>
          <w:szCs w:val="28"/>
        </w:rPr>
        <w:t>7</w:t>
      </w:r>
      <w:r w:rsidR="002931E9">
        <w:rPr>
          <w:szCs w:val="28"/>
        </w:rPr>
        <w:t xml:space="preserve"> посад</w:t>
      </w:r>
    </w:p>
    <w:p w:rsidR="00D35FCE" w:rsidRDefault="00501F56">
      <w:pPr>
        <w:ind w:firstLine="0"/>
        <w:jc w:val="center"/>
        <w:rPr>
          <w:bCs/>
          <w:szCs w:val="28"/>
        </w:rPr>
      </w:pPr>
      <w:r>
        <w:t xml:space="preserve"> (</w:t>
      </w:r>
      <w:r>
        <w:rPr>
          <w:bCs/>
          <w:szCs w:val="28"/>
        </w:rPr>
        <w:t>вул. Парково-Сирецька,19)</w:t>
      </w:r>
    </w:p>
    <w:p w:rsidR="00D35FCE" w:rsidRDefault="00D35FCE">
      <w:pPr>
        <w:ind w:firstLine="0"/>
        <w:jc w:val="center"/>
        <w:rPr>
          <w:bCs/>
          <w:sz w:val="12"/>
          <w:szCs w:val="28"/>
        </w:rPr>
      </w:pPr>
    </w:p>
    <w:tbl>
      <w:tblPr>
        <w:tblStyle w:val="afd"/>
        <w:tblW w:w="9497" w:type="dxa"/>
        <w:tblInd w:w="137" w:type="dxa"/>
        <w:tblLayout w:type="fixed"/>
        <w:tblLook w:val="04A0"/>
      </w:tblPr>
      <w:tblGrid>
        <w:gridCol w:w="540"/>
        <w:gridCol w:w="2972"/>
        <w:gridCol w:w="32"/>
        <w:gridCol w:w="5953"/>
      </w:tblGrid>
      <w:tr w:rsidR="00D35FCE">
        <w:tc>
          <w:tcPr>
            <w:tcW w:w="9497" w:type="dxa"/>
            <w:gridSpan w:val="4"/>
          </w:tcPr>
          <w:p w:rsidR="00D35FCE" w:rsidRDefault="00501F56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D35FCE">
        <w:tc>
          <w:tcPr>
            <w:tcW w:w="3512" w:type="dxa"/>
            <w:gridSpan w:val="2"/>
          </w:tcPr>
          <w:p w:rsidR="00D35FCE" w:rsidRDefault="00501F5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5985" w:type="dxa"/>
            <w:gridSpan w:val="2"/>
          </w:tcPr>
          <w:p w:rsidR="00D35FCE" w:rsidRDefault="00501F56">
            <w:pPr>
              <w:ind w:firstLine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1. Здійснення перерахунку пенсій відповідно до діючих норм та термінів передбачених чинним законодавством;</w:t>
            </w:r>
          </w:p>
          <w:p w:rsidR="00D35FCE" w:rsidRDefault="00501F5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  <w:r>
              <w:rPr>
                <w:color w:val="000000"/>
                <w:szCs w:val="28"/>
              </w:rPr>
              <w:t xml:space="preserve"> Проведення роз’яснювальної роботи серед осіб, звільнених з військової служби, та деяких інших осіб та членів їх сімей щодо норм застосування Закону України «Про пенсійне забезпечення осіб, звільнених з військової служби, та деяких інших осіб»;</w:t>
            </w:r>
          </w:p>
          <w:p w:rsidR="00D35FCE" w:rsidRDefault="00501F56">
            <w:pPr>
              <w:ind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>3.</w:t>
            </w:r>
            <w:r>
              <w:rPr>
                <w:color w:val="000000"/>
                <w:szCs w:val="28"/>
              </w:rPr>
              <w:t xml:space="preserve"> Підготовка та надання у межах своєї компетенції відповіді на запити правоохоронних органів щодо конфіденційної інформації;</w:t>
            </w:r>
          </w:p>
          <w:p w:rsidR="00D35FCE" w:rsidRDefault="00501F56">
            <w:pPr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4.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Підготовка  рішень про  відмову в призначенні/перерахунку пенсії;</w:t>
            </w:r>
          </w:p>
          <w:p w:rsidR="00D35FCE" w:rsidRDefault="00501F56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5.</w:t>
            </w:r>
            <w:r>
              <w:rPr>
                <w:szCs w:val="28"/>
              </w:rPr>
              <w:t xml:space="preserve"> Направлення електронної пенсійної справи до управління з питань виплати пенсії для фіксації перерахунку пенсії та проведення виплати;</w:t>
            </w:r>
          </w:p>
          <w:p w:rsidR="00D35FCE" w:rsidRDefault="00501F5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6. Виконання роботи з обробки персональних даних одержувачів пенсій, які опрацьовується в підсистемі «ПВП ДКГ: Військові пенсії», а саме: забезпечує ведення обліку пенсійних справ одержувачів пенсій, їх ідентифікацію, накопичення, зберігання та автоматизоване опрацювання інформації для перерахунку пенсій, надбавок, підвищень, доплат, </w:t>
            </w:r>
            <w:r>
              <w:rPr>
                <w:szCs w:val="28"/>
              </w:rPr>
              <w:lastRenderedPageBreak/>
              <w:t>компенсацій та їх індексації у порядку та спосіб визначений чинним законодавством;</w:t>
            </w:r>
          </w:p>
          <w:p w:rsidR="00D35FCE" w:rsidRDefault="00501F5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7</w:t>
            </w:r>
            <w:r>
              <w:rPr>
                <w:color w:val="000000"/>
                <w:szCs w:val="28"/>
              </w:rPr>
              <w:t xml:space="preserve"> Здійснення роботи щодо призначення (перерахунку) пенсій військовослужбовцям, особам рядового і начальницького складу та іншим особам (крім військовослужбовців строкової служби та членів їх сімей), які мають право на пенсію згідно з Законом України «Про пенсійне забезпечення осіб, звільнених з військової служби, та деяких інших осіб»</w:t>
            </w:r>
            <w:r>
              <w:rPr>
                <w:szCs w:val="28"/>
              </w:rPr>
              <w:t>;</w:t>
            </w:r>
          </w:p>
          <w:p w:rsidR="00D35FCE" w:rsidRDefault="00501F5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8. Своєчасне відпрацьовування:</w:t>
            </w:r>
          </w:p>
          <w:p w:rsidR="00D35FCE" w:rsidRDefault="00501F56">
            <w:pPr>
              <w:pStyle w:val="afa"/>
              <w:numPr>
                <w:ilvl w:val="0"/>
                <w:numId w:val="2"/>
              </w:numPr>
              <w:spacing w:line="240" w:lineRule="auto"/>
              <w:rPr>
                <w:szCs w:val="28"/>
              </w:rPr>
            </w:pPr>
            <w:r>
              <w:rPr>
                <w:szCs w:val="28"/>
              </w:rPr>
              <w:t xml:space="preserve"> списків некоректних особових рахунків;</w:t>
            </w:r>
          </w:p>
          <w:p w:rsidR="00D35FCE" w:rsidRDefault="00501F56">
            <w:pPr>
              <w:pStyle w:val="afa"/>
              <w:numPr>
                <w:ilvl w:val="0"/>
                <w:numId w:val="2"/>
              </w:numPr>
              <w:spacing w:line="240" w:lineRule="auto"/>
              <w:rPr>
                <w:szCs w:val="28"/>
              </w:rPr>
            </w:pPr>
            <w:r>
              <w:rPr>
                <w:szCs w:val="28"/>
              </w:rPr>
              <w:t>списків осіб, які працевлаштувались;</w:t>
            </w:r>
          </w:p>
          <w:p w:rsidR="00D35FCE" w:rsidRDefault="00501F56">
            <w:pPr>
              <w:pStyle w:val="afa"/>
              <w:numPr>
                <w:ilvl w:val="0"/>
                <w:numId w:val="2"/>
              </w:numPr>
              <w:spacing w:line="240" w:lineRule="auto"/>
              <w:rPr>
                <w:szCs w:val="28"/>
              </w:rPr>
            </w:pPr>
            <w:r>
              <w:rPr>
                <w:szCs w:val="28"/>
              </w:rPr>
              <w:t>довідок МСЕК;</w:t>
            </w:r>
          </w:p>
          <w:p w:rsidR="00D35FCE" w:rsidRDefault="00501F56">
            <w:pPr>
              <w:rPr>
                <w:szCs w:val="28"/>
              </w:rPr>
            </w:pPr>
            <w:r>
              <w:rPr>
                <w:szCs w:val="28"/>
              </w:rPr>
              <w:t>документів про взяття/зняття з обліку одержувачів пенсій в підсистемі ««ПВП ДКГ: Військові пенсії»;</w:t>
            </w:r>
          </w:p>
          <w:p w:rsidR="00D35FCE" w:rsidRDefault="00501F5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9. Встановлення пенсії за особливі заслуги перед Україною</w:t>
            </w:r>
            <w:r>
              <w:t>;</w:t>
            </w:r>
          </w:p>
          <w:p w:rsidR="00D35FCE" w:rsidRDefault="00501F56">
            <w:pPr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10.</w:t>
            </w:r>
            <w:r>
              <w:t xml:space="preserve"> Виконання обов’язків у разі відсутності з поважних причин (відпустка, хвороба, тощо) іншого головного спеціаліста відповідної кваліфікації та нести відповідальність за їх невиконання;  виконання додаткових завдань безпосереднього керівника відділу</w:t>
            </w:r>
            <w:r>
              <w:rPr>
                <w:szCs w:val="28"/>
              </w:rPr>
              <w:t>.</w:t>
            </w:r>
          </w:p>
        </w:tc>
      </w:tr>
      <w:tr w:rsidR="00D35FCE">
        <w:tc>
          <w:tcPr>
            <w:tcW w:w="3512" w:type="dxa"/>
            <w:gridSpan w:val="2"/>
          </w:tcPr>
          <w:p w:rsidR="00D35FCE" w:rsidRDefault="00501F5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5985" w:type="dxa"/>
            <w:gridSpan w:val="2"/>
            <w:vAlign w:val="center"/>
          </w:tcPr>
          <w:p w:rsidR="00D35FCE" w:rsidRDefault="00501F5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</w:t>
            </w:r>
            <w:r w:rsidR="00472AAC">
              <w:rPr>
                <w:bCs/>
                <w:szCs w:val="28"/>
              </w:rPr>
              <w:t>15996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 w:rsidR="00D35FCE" w:rsidRDefault="00501F5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D35FCE" w:rsidRDefault="00501F5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D35FCE" w:rsidRDefault="00501F56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D35FCE" w:rsidRDefault="00D35FCE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D35FCE">
        <w:trPr>
          <w:trHeight w:val="915"/>
        </w:trPr>
        <w:tc>
          <w:tcPr>
            <w:tcW w:w="3512" w:type="dxa"/>
            <w:gridSpan w:val="2"/>
          </w:tcPr>
          <w:p w:rsidR="00D35FCE" w:rsidRDefault="00501F5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D35FCE" w:rsidRDefault="00501F5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D35FCE" w:rsidRDefault="00501F5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призначення на посаду</w:t>
            </w:r>
          </w:p>
        </w:tc>
        <w:tc>
          <w:tcPr>
            <w:tcW w:w="5985" w:type="dxa"/>
            <w:gridSpan w:val="2"/>
          </w:tcPr>
          <w:p w:rsidR="00D35FCE" w:rsidRDefault="00501F56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lastRenderedPageBreak/>
              <w:t xml:space="preserve">призначення на посаду строкове – до призначення на цю посаду переможця конкурсу, але не більше ніж 12 місяців з дня </w:t>
            </w:r>
            <w:r>
              <w:lastRenderedPageBreak/>
              <w:t>припинення чи скасування воєнного стану;</w:t>
            </w:r>
          </w:p>
          <w:p w:rsidR="00D35FCE" w:rsidRDefault="00501F56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D35FCE" w:rsidRDefault="00501F56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D35FCE" w:rsidRDefault="00D35FCE">
            <w:pPr>
              <w:pStyle w:val="af1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</w:p>
        </w:tc>
      </w:tr>
      <w:tr w:rsidR="007B2F60">
        <w:trPr>
          <w:trHeight w:val="165"/>
        </w:trPr>
        <w:tc>
          <w:tcPr>
            <w:tcW w:w="3512" w:type="dxa"/>
            <w:gridSpan w:val="2"/>
          </w:tcPr>
          <w:p w:rsidR="007B2F60" w:rsidRDefault="007B2F60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Необхідна інформація для участі в доборі</w:t>
            </w:r>
          </w:p>
        </w:tc>
        <w:tc>
          <w:tcPr>
            <w:tcW w:w="5985" w:type="dxa"/>
            <w:gridSpan w:val="2"/>
          </w:tcPr>
          <w:p w:rsidR="007B2F60" w:rsidRDefault="007B2F60" w:rsidP="00F001AB">
            <w:pPr>
              <w:pStyle w:val="af1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3" w:name="_GoBack"/>
            <w:bookmarkEnd w:id="3"/>
            <w:r>
              <w:t xml:space="preserve">на електронну адресу: </w:t>
            </w:r>
            <w:hyperlink r:id="rId8">
              <w:r>
                <w:rPr>
                  <w:rStyle w:val="ab"/>
                  <w:lang w:val="en-US"/>
                </w:rPr>
                <w:t>konkurs</w:t>
              </w:r>
              <w:r>
                <w:rPr>
                  <w:rStyle w:val="ab"/>
                </w:rPr>
                <w:t>@</w:t>
              </w:r>
              <w:r>
                <w:rPr>
                  <w:rStyle w:val="ab"/>
                  <w:lang w:val="en-US"/>
                </w:rPr>
                <w:t>kv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pfu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gov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ua</w:t>
              </w:r>
            </w:hyperlink>
          </w:p>
          <w:p w:rsidR="007B2F60" w:rsidRDefault="007B2F60" w:rsidP="00F001AB">
            <w:pPr>
              <w:pStyle w:val="af1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7B2F60" w:rsidRDefault="007B2F60" w:rsidP="00F001AB">
            <w:pPr>
              <w:pStyle w:val="af1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D35FCE">
        <w:tc>
          <w:tcPr>
            <w:tcW w:w="9497" w:type="dxa"/>
            <w:gridSpan w:val="4"/>
          </w:tcPr>
          <w:p w:rsidR="00D35FCE" w:rsidRDefault="00501F56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</w:tc>
      </w:tr>
      <w:tr w:rsidR="00D35FCE">
        <w:tc>
          <w:tcPr>
            <w:tcW w:w="540" w:type="dxa"/>
          </w:tcPr>
          <w:p w:rsidR="00D35FCE" w:rsidRDefault="00501F5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4" w:type="dxa"/>
            <w:gridSpan w:val="2"/>
          </w:tcPr>
          <w:p w:rsidR="00D35FCE" w:rsidRDefault="00501F5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5953" w:type="dxa"/>
            <w:vAlign w:val="center"/>
          </w:tcPr>
          <w:p w:rsidR="00D35FCE" w:rsidRDefault="00501F5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D35FCE">
        <w:tc>
          <w:tcPr>
            <w:tcW w:w="540" w:type="dxa"/>
          </w:tcPr>
          <w:p w:rsidR="00D35FCE" w:rsidRDefault="00501F5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4" w:type="dxa"/>
            <w:gridSpan w:val="2"/>
          </w:tcPr>
          <w:p w:rsidR="00D35FCE" w:rsidRDefault="00501F5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5953" w:type="dxa"/>
          </w:tcPr>
          <w:p w:rsidR="00D35FCE" w:rsidRDefault="00501F56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color w:val="000000"/>
                <w:szCs w:val="28"/>
                <w:shd w:val="clear" w:color="auto" w:fill="FFFFFF"/>
              </w:rPr>
              <w:t>не потребує</w:t>
            </w:r>
          </w:p>
        </w:tc>
      </w:tr>
      <w:tr w:rsidR="00D35FCE">
        <w:trPr>
          <w:trHeight w:val="495"/>
        </w:trPr>
        <w:tc>
          <w:tcPr>
            <w:tcW w:w="540" w:type="dxa"/>
          </w:tcPr>
          <w:p w:rsidR="00D35FCE" w:rsidRDefault="00501F5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4" w:type="dxa"/>
            <w:gridSpan w:val="2"/>
          </w:tcPr>
          <w:p w:rsidR="00D35FCE" w:rsidRDefault="00501F5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5953" w:type="dxa"/>
          </w:tcPr>
          <w:p w:rsidR="00D35FCE" w:rsidRDefault="00501F5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D35FCE">
        <w:trPr>
          <w:trHeight w:val="239"/>
        </w:trPr>
        <w:tc>
          <w:tcPr>
            <w:tcW w:w="540" w:type="dxa"/>
          </w:tcPr>
          <w:p w:rsidR="00D35FCE" w:rsidRDefault="00D35FCE">
            <w:pPr>
              <w:ind w:firstLine="0"/>
              <w:jc w:val="center"/>
              <w:rPr>
                <w:b/>
                <w:szCs w:val="28"/>
              </w:rPr>
            </w:pPr>
          </w:p>
        </w:tc>
        <w:tc>
          <w:tcPr>
            <w:tcW w:w="8957" w:type="dxa"/>
            <w:gridSpan w:val="3"/>
          </w:tcPr>
          <w:p w:rsidR="00D35FCE" w:rsidRDefault="00501F56">
            <w:pPr>
              <w:ind w:left="169" w:firstLine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D35FCE">
        <w:trPr>
          <w:trHeight w:val="360"/>
        </w:trPr>
        <w:tc>
          <w:tcPr>
            <w:tcW w:w="540" w:type="dxa"/>
          </w:tcPr>
          <w:p w:rsidR="00D35FCE" w:rsidRDefault="00501F5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72" w:type="dxa"/>
          </w:tcPr>
          <w:p w:rsidR="00D35FCE" w:rsidRDefault="00501F56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85" w:type="dxa"/>
            <w:gridSpan w:val="2"/>
          </w:tcPr>
          <w:p w:rsidR="00D35FCE" w:rsidRDefault="00501F56">
            <w:pPr>
              <w:widowControl w:val="0"/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D35FCE" w:rsidRDefault="00501F56">
            <w:pPr>
              <w:widowControl w:val="0"/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D35FCE" w:rsidRDefault="00501F56">
            <w:pPr>
              <w:pStyle w:val="afa"/>
              <w:spacing w:line="240" w:lineRule="auto"/>
              <w:ind w:left="20" w:right="-80" w:hanging="142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D35FCE">
        <w:trPr>
          <w:trHeight w:val="234"/>
        </w:trPr>
        <w:tc>
          <w:tcPr>
            <w:tcW w:w="540" w:type="dxa"/>
          </w:tcPr>
          <w:p w:rsidR="00D35FCE" w:rsidRDefault="00501F5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72" w:type="dxa"/>
          </w:tcPr>
          <w:p w:rsidR="00D35FCE" w:rsidRDefault="00501F56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5985" w:type="dxa"/>
            <w:gridSpan w:val="2"/>
          </w:tcPr>
          <w:p w:rsidR="00D35FCE" w:rsidRDefault="00501F56">
            <w:pPr>
              <w:widowControl w:val="0"/>
              <w:numPr>
                <w:ilvl w:val="0"/>
                <w:numId w:val="1"/>
              </w:numPr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D35FCE" w:rsidRDefault="00501F56">
            <w:pPr>
              <w:widowControl w:val="0"/>
              <w:tabs>
                <w:tab w:val="left" w:pos="34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D35FCE" w:rsidRDefault="00501F56">
            <w:pPr>
              <w:widowControl w:val="0"/>
              <w:numPr>
                <w:ilvl w:val="0"/>
                <w:numId w:val="1"/>
              </w:numPr>
              <w:tabs>
                <w:tab w:val="left" w:pos="0"/>
              </w:tabs>
              <w:spacing w:line="240" w:lineRule="auto"/>
              <w:ind w:left="36" w:hanging="36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 w:rsidR="00D35FCE">
        <w:trPr>
          <w:trHeight w:val="198"/>
        </w:trPr>
        <w:tc>
          <w:tcPr>
            <w:tcW w:w="540" w:type="dxa"/>
          </w:tcPr>
          <w:p w:rsidR="00D35FCE" w:rsidRDefault="00501F5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72" w:type="dxa"/>
          </w:tcPr>
          <w:p w:rsidR="00D35FCE" w:rsidRDefault="00501F56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Уміння працювати в команді</w:t>
            </w:r>
          </w:p>
        </w:tc>
        <w:tc>
          <w:tcPr>
            <w:tcW w:w="5985" w:type="dxa"/>
            <w:gridSpan w:val="2"/>
          </w:tcPr>
          <w:p w:rsidR="00D35FCE" w:rsidRDefault="00501F56">
            <w:pPr>
              <w:widowControl w:val="0"/>
              <w:tabs>
                <w:tab w:val="left" w:pos="36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D35FCE" w:rsidRDefault="00501F56">
            <w:pPr>
              <w:widowControl w:val="0"/>
              <w:tabs>
                <w:tab w:val="left" w:pos="36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D35FCE" w:rsidRDefault="00501F56">
            <w:pPr>
              <w:widowControl w:val="0"/>
              <w:tabs>
                <w:tab w:val="left" w:pos="363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lastRenderedPageBreak/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D35FCE" w:rsidRDefault="00501F56">
            <w:pPr>
              <w:widowControl w:val="0"/>
              <w:tabs>
                <w:tab w:val="left" w:pos="363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</w:t>
            </w:r>
          </w:p>
        </w:tc>
      </w:tr>
      <w:tr w:rsidR="00D35FCE">
        <w:trPr>
          <w:trHeight w:val="378"/>
        </w:trPr>
        <w:tc>
          <w:tcPr>
            <w:tcW w:w="9497" w:type="dxa"/>
            <w:gridSpan w:val="4"/>
          </w:tcPr>
          <w:p w:rsidR="00D35FCE" w:rsidRDefault="00501F56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lastRenderedPageBreak/>
              <w:t>Професійні знання</w:t>
            </w:r>
          </w:p>
        </w:tc>
      </w:tr>
      <w:tr w:rsidR="00D35FCE">
        <w:trPr>
          <w:trHeight w:val="255"/>
        </w:trPr>
        <w:tc>
          <w:tcPr>
            <w:tcW w:w="3544" w:type="dxa"/>
            <w:gridSpan w:val="3"/>
          </w:tcPr>
          <w:p w:rsidR="00D35FCE" w:rsidRDefault="00501F56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5953" w:type="dxa"/>
          </w:tcPr>
          <w:p w:rsidR="00D35FCE" w:rsidRDefault="00501F56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D35FCE">
        <w:trPr>
          <w:trHeight w:val="210"/>
        </w:trPr>
        <w:tc>
          <w:tcPr>
            <w:tcW w:w="540" w:type="dxa"/>
          </w:tcPr>
          <w:p w:rsidR="00D35FCE" w:rsidRDefault="00501F5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4" w:type="dxa"/>
            <w:gridSpan w:val="2"/>
          </w:tcPr>
          <w:p w:rsidR="00D35FCE" w:rsidRDefault="00501F5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5953" w:type="dxa"/>
          </w:tcPr>
          <w:p w:rsidR="00D35FCE" w:rsidRDefault="00501F5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D35FCE" w:rsidRDefault="00501F5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D35FCE" w:rsidRDefault="00501F5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D35FCE" w:rsidRDefault="00501F5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D35FCE" w:rsidRDefault="00501F56">
            <w:pPr>
              <w:spacing w:line="240" w:lineRule="auto"/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color w:val="000000"/>
                <w:szCs w:val="28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>Закон України “Про доступ до публічної інформації”</w:t>
            </w:r>
          </w:p>
          <w:p w:rsidR="00D35FCE" w:rsidRDefault="00501F5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>Закон України “Про захист персональних даних”.</w:t>
            </w:r>
          </w:p>
        </w:tc>
      </w:tr>
      <w:tr w:rsidR="00D35FCE">
        <w:trPr>
          <w:trHeight w:val="210"/>
        </w:trPr>
        <w:tc>
          <w:tcPr>
            <w:tcW w:w="540" w:type="dxa"/>
          </w:tcPr>
          <w:p w:rsidR="00D35FCE" w:rsidRDefault="00501F5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4" w:type="dxa"/>
            <w:gridSpan w:val="2"/>
          </w:tcPr>
          <w:p w:rsidR="00D35FCE" w:rsidRDefault="00501F5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5953" w:type="dxa"/>
          </w:tcPr>
          <w:p w:rsidR="00D35FCE" w:rsidRDefault="00501F5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D35FCE" w:rsidRDefault="00501F5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 України «Про загальнообов’язкове державне пенсійне страхування»;</w:t>
            </w:r>
          </w:p>
          <w:p w:rsidR="00D35FCE" w:rsidRDefault="00501F56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Закон України «Про пенсійне забезпечення осіб, звільнених з військової служби, та деяких інших осіб»;</w:t>
            </w:r>
          </w:p>
          <w:p w:rsidR="00D35FCE" w:rsidRDefault="00501F56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-  Закон України «Про забезпечення прав і свобод внутрішньо переміщених осіб»;</w:t>
            </w:r>
          </w:p>
          <w:p w:rsidR="00D35FCE" w:rsidRDefault="00501F5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 України «Про державну службу»;</w:t>
            </w:r>
          </w:p>
          <w:p w:rsidR="00D35FCE" w:rsidRDefault="00501F56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- Закон України «Про гарантії держави щодо виконання судових рішень»</w:t>
            </w:r>
          </w:p>
          <w:p w:rsidR="00D35FCE" w:rsidRDefault="00D35FCE">
            <w:pPr>
              <w:spacing w:line="240" w:lineRule="auto"/>
              <w:ind w:firstLine="0"/>
              <w:rPr>
                <w:szCs w:val="28"/>
              </w:rPr>
            </w:pPr>
          </w:p>
          <w:p w:rsidR="00D35FCE" w:rsidRDefault="00D35FCE">
            <w:pPr>
              <w:spacing w:line="240" w:lineRule="auto"/>
              <w:ind w:firstLine="0"/>
              <w:rPr>
                <w:szCs w:val="28"/>
              </w:rPr>
            </w:pPr>
          </w:p>
        </w:tc>
      </w:tr>
    </w:tbl>
    <w:p w:rsidR="00D35FCE" w:rsidRDefault="00D35FCE">
      <w:pPr>
        <w:pStyle w:val="af1"/>
        <w:jc w:val="center"/>
        <w:rPr>
          <w:bCs/>
          <w:szCs w:val="28"/>
        </w:rPr>
      </w:pPr>
    </w:p>
    <w:p w:rsidR="00D35FCE" w:rsidRDefault="00D35FCE">
      <w:pPr>
        <w:pStyle w:val="af1"/>
        <w:jc w:val="center"/>
        <w:rPr>
          <w:bCs/>
          <w:szCs w:val="28"/>
        </w:rPr>
      </w:pPr>
    </w:p>
    <w:sectPr w:rsidR="00D35FCE" w:rsidSect="00D35FC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624" w:right="567" w:bottom="1134" w:left="1701" w:header="567" w:footer="567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5FCE" w:rsidRDefault="00D35FCE" w:rsidP="00D35FCE">
      <w:pPr>
        <w:spacing w:line="240" w:lineRule="auto"/>
      </w:pPr>
      <w:r>
        <w:separator/>
      </w:r>
    </w:p>
  </w:endnote>
  <w:endnote w:type="continuationSeparator" w:id="0">
    <w:p w:rsidR="00D35FCE" w:rsidRDefault="00D35FCE" w:rsidP="00D35FCE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FCE" w:rsidRDefault="00D35FCE">
    <w:pPr>
      <w:pStyle w:val="af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FCE" w:rsidRDefault="00D35FCE">
    <w:pPr>
      <w:pStyle w:val="af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FCE" w:rsidRDefault="00D35FCE">
    <w:pPr>
      <w:pStyle w:val="af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5FCE" w:rsidRDefault="00D35FCE" w:rsidP="00D35FCE">
      <w:pPr>
        <w:spacing w:line="240" w:lineRule="auto"/>
      </w:pPr>
      <w:r>
        <w:separator/>
      </w:r>
    </w:p>
  </w:footnote>
  <w:footnote w:type="continuationSeparator" w:id="0">
    <w:p w:rsidR="00D35FCE" w:rsidRDefault="00D35FCE" w:rsidP="00D35FCE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FCE" w:rsidRDefault="00833A32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D35FCE" w:rsidRDefault="00833A32">
                <w:r>
                  <w:fldChar w:fldCharType="begin"/>
                </w:r>
                <w:r w:rsidR="00501F56">
                  <w:instrText xml:space="preserve"> PAGE </w:instrText>
                </w:r>
                <w:r>
                  <w:fldChar w:fldCharType="separate"/>
                </w:r>
                <w:r w:rsidR="00501F56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FCE" w:rsidRDefault="00833A32">
    <w:pPr>
      <w:rPr>
        <w:sz w:val="20"/>
      </w:rPr>
    </w:pPr>
    <w:r w:rsidRPr="00833A32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D35FCE" w:rsidRDefault="00833A32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501F56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D150E2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FCE" w:rsidRDefault="00D35FCE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5C7FAD"/>
    <w:multiLevelType w:val="multilevel"/>
    <w:tmpl w:val="BD20ED1C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1">
    <w:nsid w:val="49BB58BB"/>
    <w:multiLevelType w:val="multilevel"/>
    <w:tmpl w:val="ADF41FB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74A35BDE"/>
    <w:multiLevelType w:val="multilevel"/>
    <w:tmpl w:val="4888F70E"/>
    <w:lvl w:ilvl="0">
      <w:start w:val="3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170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D35FCE"/>
    <w:rsid w:val="00016416"/>
    <w:rsid w:val="000C4A38"/>
    <w:rsid w:val="001C6564"/>
    <w:rsid w:val="002165A2"/>
    <w:rsid w:val="002931E9"/>
    <w:rsid w:val="00472AAC"/>
    <w:rsid w:val="00481003"/>
    <w:rsid w:val="00501F56"/>
    <w:rsid w:val="00606E02"/>
    <w:rsid w:val="006D45B3"/>
    <w:rsid w:val="007060AD"/>
    <w:rsid w:val="00742942"/>
    <w:rsid w:val="007B2F60"/>
    <w:rsid w:val="007C79C3"/>
    <w:rsid w:val="00833A32"/>
    <w:rsid w:val="00852C6A"/>
    <w:rsid w:val="008734CD"/>
    <w:rsid w:val="008A67C9"/>
    <w:rsid w:val="008D5F5F"/>
    <w:rsid w:val="009762C8"/>
    <w:rsid w:val="009A356C"/>
    <w:rsid w:val="00B805DB"/>
    <w:rsid w:val="00D150E2"/>
    <w:rsid w:val="00D321F8"/>
    <w:rsid w:val="00D35FCE"/>
    <w:rsid w:val="00D505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uiPriority w:val="99"/>
    <w:unhideWhenUsed/>
    <w:qFormat/>
    <w:rsid w:val="009A0AB5"/>
    <w:rPr>
      <w:color w:val="0000FF"/>
      <w:u w:val="single"/>
    </w:rPr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10">
    <w:name w:val="Неразрешенное упоминание1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5">
    <w:name w:val="Основний текст Знак"/>
    <w:basedOn w:val="a0"/>
    <w:link w:val="a6"/>
    <w:qFormat/>
    <w:rsid w:val="000333EF"/>
    <w:rPr>
      <w:sz w:val="28"/>
      <w:lang w:eastAsia="ru-RU"/>
    </w:rPr>
  </w:style>
  <w:style w:type="character" w:customStyle="1" w:styleId="30">
    <w:name w:val="Основний текст з відступом 3 Знак"/>
    <w:basedOn w:val="a0"/>
    <w:link w:val="31"/>
    <w:uiPriority w:val="99"/>
    <w:qFormat/>
    <w:rsid w:val="001F4ACA"/>
    <w:rPr>
      <w:rFonts w:eastAsiaTheme="minorHAnsi" w:cstheme="minorBidi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8"/>
    <w:uiPriority w:val="99"/>
    <w:qFormat/>
    <w:rsid w:val="00125745"/>
    <w:rPr>
      <w:sz w:val="28"/>
      <w:lang w:eastAsia="ru-RU"/>
    </w:rPr>
  </w:style>
  <w:style w:type="character" w:customStyle="1" w:styleId="a9">
    <w:name w:val="Підзаголовок Знак"/>
    <w:basedOn w:val="a0"/>
    <w:link w:val="aa"/>
    <w:uiPriority w:val="99"/>
    <w:qFormat/>
    <w:rsid w:val="00DE0C41"/>
    <w:rPr>
      <w:b/>
      <w:sz w:val="28"/>
    </w:rPr>
  </w:style>
  <w:style w:type="character" w:customStyle="1" w:styleId="FontStyle11">
    <w:name w:val="Font Style11"/>
    <w:basedOn w:val="a0"/>
    <w:uiPriority w:val="99"/>
    <w:qFormat/>
    <w:rsid w:val="00D76ED3"/>
    <w:rPr>
      <w:rFonts w:ascii="Times New Roman" w:hAnsi="Times New Roman" w:cs="Times New Roman"/>
      <w:sz w:val="26"/>
      <w:szCs w:val="26"/>
    </w:rPr>
  </w:style>
  <w:style w:type="character" w:styleId="ab">
    <w:name w:val="Hyperlink"/>
    <w:uiPriority w:val="99"/>
    <w:rsid w:val="00D35FCE"/>
    <w:rPr>
      <w:color w:val="000080"/>
      <w:u w:val="single"/>
    </w:rPr>
  </w:style>
  <w:style w:type="character" w:customStyle="1" w:styleId="cs23fb0664">
    <w:name w:val="cs23fb0664"/>
    <w:basedOn w:val="a0"/>
    <w:qFormat/>
    <w:rsid w:val="00D35FCE"/>
  </w:style>
  <w:style w:type="character" w:customStyle="1" w:styleId="UnresolvedMention">
    <w:name w:val="Unresolved Mention"/>
    <w:basedOn w:val="a0"/>
    <w:qFormat/>
    <w:rsid w:val="00D35FCE"/>
    <w:rPr>
      <w:color w:val="605E5C"/>
      <w:shd w:val="clear" w:color="auto" w:fill="E1DFDD"/>
    </w:rPr>
  </w:style>
  <w:style w:type="paragraph" w:customStyle="1" w:styleId="ac">
    <w:name w:val="Заголовок"/>
    <w:basedOn w:val="a"/>
    <w:next w:val="a6"/>
    <w:qFormat/>
    <w:rsid w:val="00D35FCE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6">
    <w:name w:val="Body Text"/>
    <w:basedOn w:val="a"/>
    <w:link w:val="a5"/>
    <w:unhideWhenUsed/>
    <w:rsid w:val="000333EF"/>
    <w:pPr>
      <w:spacing w:line="240" w:lineRule="auto"/>
      <w:ind w:firstLine="0"/>
      <w:jc w:val="center"/>
    </w:pPr>
  </w:style>
  <w:style w:type="paragraph" w:styleId="ad">
    <w:name w:val="List"/>
    <w:basedOn w:val="a6"/>
    <w:rsid w:val="00D35FCE"/>
    <w:rPr>
      <w:rFonts w:cs="Lucida Sans"/>
    </w:rPr>
  </w:style>
  <w:style w:type="paragraph" w:styleId="ae">
    <w:name w:val="caption"/>
    <w:basedOn w:val="a"/>
    <w:qFormat/>
    <w:rsid w:val="00D35FCE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f">
    <w:name w:val="Покажчик"/>
    <w:basedOn w:val="a"/>
    <w:qFormat/>
    <w:rsid w:val="00D35FCE"/>
    <w:pPr>
      <w:suppressLineNumbers/>
    </w:pPr>
    <w:rPr>
      <w:rFonts w:cs="Lucida Sans"/>
    </w:rPr>
  </w:style>
  <w:style w:type="paragraph" w:customStyle="1" w:styleId="HeaderandFooter">
    <w:name w:val="Header and Footer"/>
    <w:basedOn w:val="a"/>
    <w:qFormat/>
    <w:rsid w:val="00D35FCE"/>
  </w:style>
  <w:style w:type="paragraph" w:styleId="af0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1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2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8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3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4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5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6">
    <w:name w:val="Вид документа"/>
    <w:basedOn w:val="af5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7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8">
    <w:name w:val="Назва документа"/>
    <w:basedOn w:val="a"/>
    <w:next w:val="af1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9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0"/>
    <w:uiPriority w:val="99"/>
    <w:unhideWhenUsed/>
    <w:qFormat/>
    <w:rsid w:val="001F4ACA"/>
    <w:pPr>
      <w:spacing w:after="120"/>
      <w:ind w:left="283" w:firstLine="0"/>
      <w:jc w:val="left"/>
    </w:pPr>
    <w:rPr>
      <w:rFonts w:eastAsiaTheme="minorHAnsi" w:cstheme="minorBid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a">
    <w:name w:val="List Paragraph"/>
    <w:basedOn w:val="a"/>
    <w:uiPriority w:val="34"/>
    <w:qFormat/>
    <w:rsid w:val="00197D14"/>
    <w:pPr>
      <w:ind w:left="720"/>
      <w:contextualSpacing/>
    </w:pPr>
  </w:style>
  <w:style w:type="paragraph" w:styleId="aa">
    <w:name w:val="Subtitle"/>
    <w:basedOn w:val="a"/>
    <w:link w:val="a9"/>
    <w:uiPriority w:val="99"/>
    <w:qFormat/>
    <w:rsid w:val="00DE0C41"/>
    <w:pPr>
      <w:spacing w:line="240" w:lineRule="auto"/>
      <w:ind w:firstLine="0"/>
      <w:jc w:val="center"/>
    </w:pPr>
    <w:rPr>
      <w:b/>
    </w:rPr>
  </w:style>
  <w:style w:type="paragraph" w:customStyle="1" w:styleId="12">
    <w:name w:val="Звичайний1"/>
    <w:qFormat/>
    <w:rsid w:val="00551E65"/>
    <w:pPr>
      <w:widowControl w:val="0"/>
      <w:spacing w:line="259" w:lineRule="auto"/>
      <w:ind w:firstLine="580"/>
      <w:jc w:val="both"/>
    </w:pPr>
    <w:rPr>
      <w:sz w:val="18"/>
      <w:lang w:eastAsia="ru-RU"/>
    </w:rPr>
  </w:style>
  <w:style w:type="paragraph" w:customStyle="1" w:styleId="afb">
    <w:name w:val="Вміст рамки"/>
    <w:basedOn w:val="a"/>
    <w:qFormat/>
    <w:rsid w:val="00D35FCE"/>
  </w:style>
  <w:style w:type="paragraph" w:customStyle="1" w:styleId="csabb0e626">
    <w:name w:val="csabb0e626"/>
    <w:basedOn w:val="a"/>
    <w:qFormat/>
    <w:rsid w:val="00D35FCE"/>
    <w:pPr>
      <w:spacing w:before="280" w:after="280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D35FCE"/>
    <w:pPr>
      <w:spacing w:before="280" w:after="280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D35FCE"/>
    <w:pPr>
      <w:spacing w:before="280" w:after="280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D35FCE"/>
    <w:pPr>
      <w:spacing w:before="280" w:after="280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D35FCE"/>
    <w:pPr>
      <w:spacing w:before="280" w:after="280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d0a5422">
    <w:name w:val="cs2d0a5422"/>
    <w:basedOn w:val="a"/>
    <w:qFormat/>
    <w:rsid w:val="00D35FCE"/>
    <w:pPr>
      <w:spacing w:before="280" w:after="280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310">
    <w:name w:val="Основной текст (3)1"/>
    <w:basedOn w:val="a"/>
    <w:qFormat/>
    <w:rsid w:val="00D35FC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numbering" w:customStyle="1" w:styleId="afc">
    <w:name w:val="Без маркерів"/>
    <w:uiPriority w:val="99"/>
    <w:semiHidden/>
    <w:unhideWhenUsed/>
    <w:qFormat/>
    <w:rsid w:val="00D35FCE"/>
  </w:style>
  <w:style w:type="table" w:styleId="afd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955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64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2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6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B17F08-160B-40B6-B0D4-52E973920D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3652</Words>
  <Characters>2083</Characters>
  <Application>Microsoft Office Word</Application>
  <DocSecurity>0</DocSecurity>
  <Lines>17</Lines>
  <Paragraphs>11</Paragraphs>
  <ScaleCrop>false</ScaleCrop>
  <Company>KMU</Company>
  <LinksUpToDate>false</LinksUpToDate>
  <CharactersWithSpaces>5724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O.Chechylo</cp:lastModifiedBy>
  <cp:revision>24</cp:revision>
  <cp:lastPrinted>2021-03-22T13:07:00Z</cp:lastPrinted>
  <dcterms:created xsi:type="dcterms:W3CDTF">2023-03-24T07:17:00Z</dcterms:created>
  <dcterms:modified xsi:type="dcterms:W3CDTF">2025-02-06T09:58:00Z</dcterms:modified>
  <dc:language>uk-UA</dc:language>
</cp:coreProperties>
</file>