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1BF" w:rsidRDefault="008911BF" w:rsidP="008911BF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8911BF" w:rsidRDefault="008911BF" w:rsidP="008911BF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8911BF" w:rsidRPr="00C11619" w:rsidRDefault="008911BF" w:rsidP="00C11619">
      <w:pPr>
        <w:spacing w:line="240" w:lineRule="auto"/>
        <w:ind w:left="6096" w:firstLine="0"/>
        <w:jc w:val="left"/>
        <w:rPr>
          <w:bCs/>
          <w:szCs w:val="24"/>
        </w:rPr>
      </w:pPr>
      <w:r>
        <w:rPr>
          <w:szCs w:val="24"/>
        </w:rPr>
        <w:t xml:space="preserve">від </w:t>
      </w:r>
      <w:r w:rsidR="00C11619" w:rsidRPr="00C11619">
        <w:rPr>
          <w:szCs w:val="24"/>
          <w:u w:val="single"/>
          <w:lang w:val="en-US"/>
        </w:rPr>
        <w:t>04.03.2025</w:t>
      </w:r>
      <w:r w:rsidR="00C11619" w:rsidRPr="00C11619">
        <w:rPr>
          <w:szCs w:val="24"/>
        </w:rPr>
        <w:t xml:space="preserve"> </w:t>
      </w:r>
      <w:r w:rsidR="00C11619">
        <w:rPr>
          <w:szCs w:val="24"/>
        </w:rPr>
        <w:t xml:space="preserve">     </w:t>
      </w:r>
      <w:r w:rsidRPr="00C11619">
        <w:rPr>
          <w:szCs w:val="24"/>
          <w:u w:val="single"/>
        </w:rPr>
        <w:t>№</w:t>
      </w:r>
      <w:r w:rsidR="00C11619" w:rsidRPr="00C11619">
        <w:rPr>
          <w:szCs w:val="24"/>
          <w:u w:val="single"/>
          <w:lang w:val="en-US"/>
        </w:rPr>
        <w:t>282-</w:t>
      </w:r>
      <w:r w:rsidR="00C11619" w:rsidRPr="00C11619">
        <w:rPr>
          <w:szCs w:val="24"/>
          <w:u w:val="single"/>
        </w:rPr>
        <w:t>О</w:t>
      </w:r>
    </w:p>
    <w:p w:rsidR="009173FE" w:rsidRDefault="009173FE" w:rsidP="009173FE">
      <w:pPr>
        <w:spacing w:line="240" w:lineRule="auto"/>
        <w:ind w:left="6096" w:firstLine="0"/>
        <w:jc w:val="left"/>
        <w:rPr>
          <w:szCs w:val="24"/>
        </w:rPr>
      </w:pPr>
    </w:p>
    <w:p w:rsidR="00CB0BBC" w:rsidRDefault="00CB0BBC">
      <w:pPr>
        <w:spacing w:line="240" w:lineRule="auto"/>
        <w:jc w:val="left"/>
        <w:rPr>
          <w:bCs/>
          <w:szCs w:val="28"/>
        </w:rPr>
      </w:pPr>
    </w:p>
    <w:p w:rsidR="00CB0BBC" w:rsidRDefault="00E4731B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CB0BBC" w:rsidRDefault="00E4731B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CB0BBC" w:rsidRDefault="00E4731B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szCs w:val="28"/>
        </w:rPr>
        <w:t>відділу  перерахунків пенсій № 4 управління пенсійного забезпечення, надання страхових виплат, соціальних послуг, житлових субсидій та пільг</w:t>
      </w:r>
      <w:r w:rsidR="00C53119">
        <w:rPr>
          <w:szCs w:val="28"/>
        </w:rPr>
        <w:t xml:space="preserve"> ( на період тимчасово відсутнього працівника)</w:t>
      </w:r>
      <w:r>
        <w:rPr>
          <w:szCs w:val="28"/>
        </w:rPr>
        <w:t xml:space="preserve"> – 1 посада</w:t>
      </w:r>
      <w:r>
        <w:t xml:space="preserve"> (вул. Гната Юри, 14б)</w:t>
      </w:r>
    </w:p>
    <w:p w:rsidR="00CB0BBC" w:rsidRDefault="00CB0BBC">
      <w:pPr>
        <w:ind w:firstLine="0"/>
        <w:jc w:val="center"/>
        <w:rPr>
          <w:bCs/>
          <w:szCs w:val="28"/>
        </w:rPr>
      </w:pPr>
    </w:p>
    <w:tbl>
      <w:tblPr>
        <w:tblStyle w:val="afd"/>
        <w:tblW w:w="9465" w:type="dxa"/>
        <w:tblInd w:w="137" w:type="dxa"/>
        <w:tblLayout w:type="fixed"/>
        <w:tblLook w:val="04A0"/>
      </w:tblPr>
      <w:tblGrid>
        <w:gridCol w:w="540"/>
        <w:gridCol w:w="2972"/>
        <w:gridCol w:w="32"/>
        <w:gridCol w:w="5921"/>
      </w:tblGrid>
      <w:tr w:rsidR="00CB0BBC">
        <w:tc>
          <w:tcPr>
            <w:tcW w:w="9465" w:type="dxa"/>
            <w:gridSpan w:val="4"/>
          </w:tcPr>
          <w:p w:rsidR="00CB0BBC" w:rsidRDefault="00E4731B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CB0BBC">
        <w:tc>
          <w:tcPr>
            <w:tcW w:w="3512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53" w:type="dxa"/>
            <w:gridSpan w:val="2"/>
          </w:tcPr>
          <w:p w:rsidR="00CB0BBC" w:rsidRDefault="00E4731B">
            <w:pPr>
              <w:ind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 xml:space="preserve">1. </w:t>
            </w:r>
            <w:r>
              <w:rPr>
                <w:szCs w:val="28"/>
              </w:rPr>
              <w:t>Опрацювання документів на перерахунок пенсій відповідно до статті 42 Закону України "Про загальнообов’язкове державне пенсійне страхування";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 Здійснення опрацювання документів про працевлаштування (звільнення);</w:t>
            </w:r>
          </w:p>
          <w:p w:rsidR="00CB0BBC" w:rsidRDefault="00E4731B">
            <w:pPr>
              <w:ind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3. Здійснення опрацювання документів про продовження виплати пенсії у разі втрати годувальника та по інвалідності</w:t>
            </w:r>
            <w:r>
              <w:rPr>
                <w:color w:val="000000"/>
                <w:szCs w:val="28"/>
              </w:rPr>
              <w:t>;</w:t>
            </w:r>
          </w:p>
          <w:p w:rsidR="00CB0BBC" w:rsidRDefault="00E4731B">
            <w:pPr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4.</w:t>
            </w:r>
            <w:r>
              <w:rPr>
                <w:szCs w:val="28"/>
              </w:rPr>
              <w:t xml:space="preserve"> Здійснення опрацювання документів про переведення виплати пенсії за новим місцем проживання (перебування)</w:t>
            </w:r>
            <w:r>
              <w:rPr>
                <w:color w:val="000000"/>
                <w:szCs w:val="28"/>
              </w:rPr>
              <w:t>.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5.</w:t>
            </w:r>
            <w:r>
              <w:rPr>
                <w:szCs w:val="28"/>
              </w:rPr>
              <w:t xml:space="preserve"> Здійснення щомісячного моніторингу працюючих пенсіонерів;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6. Здійснення відпрацювання судових рішень щодо пенсійного забезпечення;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7. Здійснення відпрацювання кандидатів на індивідуально-масовий перерахунок;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8. Здійснення опрацювання пенсійних справ з урахуванням періодів перебування на канікулах осіб, які перебувають в будинках-інтернатах;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9. Здійснення перевірки співставлення діючих складових пенсійної виплати з документами та атрибутами </w:t>
            </w:r>
            <w:proofErr w:type="spellStart"/>
            <w:r>
              <w:rPr>
                <w:szCs w:val="28"/>
              </w:rPr>
              <w:t>оцифрованої</w:t>
            </w:r>
            <w:proofErr w:type="spellEnd"/>
            <w:r>
              <w:rPr>
                <w:szCs w:val="28"/>
              </w:rPr>
              <w:t xml:space="preserve"> пенсійної справи в </w:t>
            </w:r>
            <w:r>
              <w:rPr>
                <w:szCs w:val="28"/>
              </w:rPr>
              <w:lastRenderedPageBreak/>
              <w:t xml:space="preserve">архіві (четвертий етап </w:t>
            </w:r>
            <w:proofErr w:type="spellStart"/>
            <w:r>
              <w:rPr>
                <w:szCs w:val="28"/>
              </w:rPr>
              <w:t>ретроконверсії</w:t>
            </w:r>
            <w:proofErr w:type="spellEnd"/>
            <w:r>
              <w:rPr>
                <w:szCs w:val="28"/>
              </w:rPr>
              <w:t>);</w:t>
            </w:r>
          </w:p>
          <w:p w:rsidR="00CB0BBC" w:rsidRDefault="00E4731B">
            <w:pPr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10. Здійснення формування звітів контролю розпоряджень (складові розпорядження та стажі) та опрацьовують справи, наявні в звітах.</w:t>
            </w:r>
          </w:p>
        </w:tc>
      </w:tr>
      <w:tr w:rsidR="00CB0BBC">
        <w:tc>
          <w:tcPr>
            <w:tcW w:w="3512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3" w:type="dxa"/>
            <w:gridSpan w:val="2"/>
            <w:vAlign w:val="center"/>
          </w:tcPr>
          <w:p w:rsidR="00CB0BBC" w:rsidRDefault="00E4731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</w:t>
            </w:r>
            <w:r w:rsidR="00C53119">
              <w:rPr>
                <w:bCs/>
                <w:szCs w:val="28"/>
              </w:rPr>
              <w:t>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CB0BBC" w:rsidRDefault="00E4731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CB0BBC" w:rsidRDefault="00E4731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CB0BBC" w:rsidRDefault="00E4731B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CB0BBC" w:rsidRDefault="00CB0BBC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CB0BBC">
        <w:trPr>
          <w:trHeight w:val="915"/>
        </w:trPr>
        <w:tc>
          <w:tcPr>
            <w:tcW w:w="3512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53" w:type="dxa"/>
            <w:gridSpan w:val="2"/>
          </w:tcPr>
          <w:p w:rsidR="00CB0BBC" w:rsidRDefault="00E4731B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CB0BBC" w:rsidRDefault="00E4731B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CB0BBC" w:rsidRDefault="00E4731B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CB0BBC" w:rsidRDefault="00CB0BBC">
            <w:pPr>
              <w:pStyle w:val="af1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CB0BBC">
        <w:trPr>
          <w:trHeight w:val="165"/>
        </w:trPr>
        <w:tc>
          <w:tcPr>
            <w:tcW w:w="3512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</w:t>
            </w:r>
          </w:p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необхідної для участі в</w:t>
            </w:r>
          </w:p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конкурсі, та строк її подання</w:t>
            </w:r>
          </w:p>
        </w:tc>
        <w:tc>
          <w:tcPr>
            <w:tcW w:w="5953" w:type="dxa"/>
            <w:gridSpan w:val="2"/>
          </w:tcPr>
          <w:p w:rsidR="00C53119" w:rsidRDefault="00C53119" w:rsidP="00C53119">
            <w:pPr>
              <w:pStyle w:val="af1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C53119" w:rsidRDefault="00C53119" w:rsidP="00C53119">
            <w:pPr>
              <w:pStyle w:val="af1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CB0BBC" w:rsidRDefault="00C53119" w:rsidP="00C53119">
            <w:pPr>
              <w:pStyle w:val="a6"/>
              <w:spacing w:before="88"/>
              <w:jc w:val="left"/>
              <w:rPr>
                <w:spacing w:val="-1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CB0BBC">
        <w:tc>
          <w:tcPr>
            <w:tcW w:w="9465" w:type="dxa"/>
            <w:gridSpan w:val="4"/>
          </w:tcPr>
          <w:p w:rsidR="00CB0BBC" w:rsidRDefault="00E4731B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CB0BBC">
        <w:tc>
          <w:tcPr>
            <w:tcW w:w="540" w:type="dxa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21" w:type="dxa"/>
            <w:vAlign w:val="center"/>
          </w:tcPr>
          <w:p w:rsidR="00CB0BBC" w:rsidRDefault="00E4731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CB0BBC">
        <w:tc>
          <w:tcPr>
            <w:tcW w:w="540" w:type="dxa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21" w:type="dxa"/>
          </w:tcPr>
          <w:p w:rsidR="00CB0BBC" w:rsidRDefault="00E4731B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  <w:shd w:val="clear" w:color="auto" w:fill="FFFFFF"/>
              </w:rPr>
              <w:t>не потребує</w:t>
            </w:r>
          </w:p>
        </w:tc>
      </w:tr>
      <w:tr w:rsidR="00CB0BBC">
        <w:trPr>
          <w:trHeight w:val="495"/>
        </w:trPr>
        <w:tc>
          <w:tcPr>
            <w:tcW w:w="540" w:type="dxa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4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21" w:type="dxa"/>
          </w:tcPr>
          <w:p w:rsidR="00CB0BBC" w:rsidRDefault="00E4731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CB0BBC">
        <w:trPr>
          <w:trHeight w:val="239"/>
        </w:trPr>
        <w:tc>
          <w:tcPr>
            <w:tcW w:w="540" w:type="dxa"/>
          </w:tcPr>
          <w:p w:rsidR="00CB0BBC" w:rsidRDefault="00CB0BBC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25" w:type="dxa"/>
            <w:gridSpan w:val="3"/>
          </w:tcPr>
          <w:p w:rsidR="00CB0BBC" w:rsidRDefault="00E4731B">
            <w:pPr>
              <w:ind w:left="169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CB0BBC">
        <w:trPr>
          <w:trHeight w:val="360"/>
        </w:trPr>
        <w:tc>
          <w:tcPr>
            <w:tcW w:w="540" w:type="dxa"/>
          </w:tcPr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72" w:type="dxa"/>
          </w:tcPr>
          <w:p w:rsidR="00CB0BBC" w:rsidRDefault="00E4731B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3" w:type="dxa"/>
            <w:gridSpan w:val="2"/>
          </w:tcPr>
          <w:p w:rsidR="00CB0BBC" w:rsidRDefault="00E4731B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B0BBC" w:rsidRDefault="00E4731B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B0BBC" w:rsidRDefault="00E4731B">
            <w:pPr>
              <w:pStyle w:val="afa"/>
              <w:spacing w:line="240" w:lineRule="auto"/>
              <w:ind w:left="20" w:right="-8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CB0BBC">
        <w:trPr>
          <w:trHeight w:val="234"/>
        </w:trPr>
        <w:tc>
          <w:tcPr>
            <w:tcW w:w="540" w:type="dxa"/>
          </w:tcPr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72" w:type="dxa"/>
          </w:tcPr>
          <w:p w:rsidR="00CB0BBC" w:rsidRDefault="00E4731B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3" w:type="dxa"/>
            <w:gridSpan w:val="2"/>
          </w:tcPr>
          <w:p w:rsidR="00CB0BBC" w:rsidRDefault="00E4731B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CB0BBC" w:rsidRDefault="00E4731B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CB0BBC" w:rsidRDefault="00E4731B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CB0BBC">
        <w:trPr>
          <w:trHeight w:val="198"/>
        </w:trPr>
        <w:tc>
          <w:tcPr>
            <w:tcW w:w="540" w:type="dxa"/>
          </w:tcPr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72" w:type="dxa"/>
          </w:tcPr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5953" w:type="dxa"/>
            <w:gridSpan w:val="2"/>
          </w:tcPr>
          <w:p w:rsidR="00CB0BBC" w:rsidRDefault="00E4731B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CB0BBC" w:rsidRDefault="00E4731B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CB0BBC" w:rsidRDefault="00E4731B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CB0BBC" w:rsidRDefault="00E4731B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CB0BBC">
        <w:trPr>
          <w:trHeight w:val="378"/>
        </w:trPr>
        <w:tc>
          <w:tcPr>
            <w:tcW w:w="9465" w:type="dxa"/>
            <w:gridSpan w:val="4"/>
          </w:tcPr>
          <w:p w:rsidR="00CB0BBC" w:rsidRDefault="00E4731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CB0BBC">
        <w:trPr>
          <w:trHeight w:val="255"/>
        </w:trPr>
        <w:tc>
          <w:tcPr>
            <w:tcW w:w="3544" w:type="dxa"/>
            <w:gridSpan w:val="3"/>
          </w:tcPr>
          <w:p w:rsidR="00CB0BBC" w:rsidRDefault="00E4731B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21" w:type="dxa"/>
          </w:tcPr>
          <w:p w:rsidR="00CB0BBC" w:rsidRDefault="00E4731B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CB0BBC">
        <w:trPr>
          <w:trHeight w:val="210"/>
        </w:trPr>
        <w:tc>
          <w:tcPr>
            <w:tcW w:w="540" w:type="dxa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21" w:type="dxa"/>
          </w:tcPr>
          <w:p w:rsidR="00CB0BBC" w:rsidRDefault="00E473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CB0BBC" w:rsidRDefault="00E473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CB0BBC" w:rsidRDefault="00E473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CB0BBC" w:rsidRDefault="00E473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CB0BBC" w:rsidRDefault="00E4731B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color w:val="000000"/>
                <w:szCs w:val="28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CB0BBC" w:rsidRDefault="00E473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CB0BBC">
        <w:trPr>
          <w:trHeight w:val="210"/>
        </w:trPr>
        <w:tc>
          <w:tcPr>
            <w:tcW w:w="540" w:type="dxa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21" w:type="dxa"/>
          </w:tcPr>
          <w:p w:rsidR="00CB0BBC" w:rsidRDefault="00E473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загальнообов’язкове державне пенсійне страхування»;</w:t>
            </w:r>
          </w:p>
          <w:p w:rsidR="00CB0BBC" w:rsidRDefault="00E4731B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CB0BBC" w:rsidRDefault="00E4731B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державну службу»;</w:t>
            </w:r>
          </w:p>
          <w:p w:rsidR="00CB0BBC" w:rsidRDefault="00E4731B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lastRenderedPageBreak/>
              <w:t>- Закон України «Про гарантії держави щодо виконання судових рішень»</w:t>
            </w:r>
          </w:p>
        </w:tc>
      </w:tr>
    </w:tbl>
    <w:p w:rsidR="00CB0BBC" w:rsidRDefault="00CB0BBC">
      <w:pPr>
        <w:pStyle w:val="af1"/>
        <w:rPr>
          <w:bCs/>
          <w:szCs w:val="28"/>
        </w:rPr>
      </w:pPr>
    </w:p>
    <w:p w:rsidR="00CB0BBC" w:rsidRDefault="00CB0BBC">
      <w:pPr>
        <w:pStyle w:val="af1"/>
        <w:jc w:val="center"/>
        <w:rPr>
          <w:bCs/>
          <w:szCs w:val="28"/>
        </w:rPr>
      </w:pPr>
    </w:p>
    <w:p w:rsidR="00CB0BBC" w:rsidRDefault="00CB0BBC">
      <w:pPr>
        <w:pStyle w:val="af1"/>
        <w:jc w:val="center"/>
        <w:rPr>
          <w:bCs/>
          <w:szCs w:val="28"/>
        </w:rPr>
      </w:pPr>
    </w:p>
    <w:sectPr w:rsidR="00CB0BBC" w:rsidSect="00CB0B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624" w:right="567" w:bottom="1134" w:left="1701" w:header="567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0BBC" w:rsidRDefault="00CB0BBC" w:rsidP="00CB0BBC">
      <w:pPr>
        <w:spacing w:line="240" w:lineRule="auto"/>
      </w:pPr>
      <w:r>
        <w:separator/>
      </w:r>
    </w:p>
  </w:endnote>
  <w:endnote w:type="continuationSeparator" w:id="0">
    <w:p w:rsidR="00CB0BBC" w:rsidRDefault="00CB0BBC" w:rsidP="00CB0BB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BC" w:rsidRDefault="00CB0BBC">
    <w:pPr>
      <w:pStyle w:val="a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BC" w:rsidRDefault="00CB0BBC">
    <w:pPr>
      <w:pStyle w:val="af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BC" w:rsidRDefault="00CB0BBC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0BBC" w:rsidRDefault="00CB0BBC" w:rsidP="00CB0BBC">
      <w:pPr>
        <w:spacing w:line="240" w:lineRule="auto"/>
      </w:pPr>
      <w:r>
        <w:separator/>
      </w:r>
    </w:p>
  </w:footnote>
  <w:footnote w:type="continuationSeparator" w:id="0">
    <w:p w:rsidR="00CB0BBC" w:rsidRDefault="00CB0BBC" w:rsidP="00CB0BBC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BC" w:rsidRDefault="00246A37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CB0BBC" w:rsidRDefault="00246A37">
                <w:r>
                  <w:fldChar w:fldCharType="begin"/>
                </w:r>
                <w:r w:rsidR="00E4731B">
                  <w:instrText xml:space="preserve"> PAGE </w:instrText>
                </w:r>
                <w:r>
                  <w:fldChar w:fldCharType="separate"/>
                </w:r>
                <w:r w:rsidR="00E4731B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BC" w:rsidRDefault="00246A37">
    <w:pPr>
      <w:rPr>
        <w:sz w:val="20"/>
      </w:rPr>
    </w:pPr>
    <w:r w:rsidRPr="00246A37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CB0BBC" w:rsidRDefault="00246A37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E4731B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C11619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BC" w:rsidRDefault="00CB0BBC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14EA0"/>
    <w:multiLevelType w:val="multilevel"/>
    <w:tmpl w:val="190650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A9256D3"/>
    <w:multiLevelType w:val="multilevel"/>
    <w:tmpl w:val="37B2122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17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CB0BBC"/>
    <w:rsid w:val="000958B2"/>
    <w:rsid w:val="00246A37"/>
    <w:rsid w:val="005407E6"/>
    <w:rsid w:val="006A0B48"/>
    <w:rsid w:val="006E43B4"/>
    <w:rsid w:val="007B0EFF"/>
    <w:rsid w:val="00881BEA"/>
    <w:rsid w:val="008911BF"/>
    <w:rsid w:val="009173FE"/>
    <w:rsid w:val="009823EF"/>
    <w:rsid w:val="009C08C2"/>
    <w:rsid w:val="00BF7145"/>
    <w:rsid w:val="00C11619"/>
    <w:rsid w:val="00C53119"/>
    <w:rsid w:val="00CB0BBC"/>
    <w:rsid w:val="00E473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a9">
    <w:name w:val="Пі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FontStyle11">
    <w:name w:val="Font Style11"/>
    <w:basedOn w:val="a0"/>
    <w:uiPriority w:val="99"/>
    <w:qFormat/>
    <w:rsid w:val="00D76ED3"/>
    <w:rPr>
      <w:rFonts w:ascii="Times New Roman" w:hAnsi="Times New Roman" w:cs="Times New Roman"/>
      <w:sz w:val="26"/>
      <w:szCs w:val="26"/>
    </w:rPr>
  </w:style>
  <w:style w:type="character" w:styleId="ab">
    <w:name w:val="Hyperlink"/>
    <w:rsid w:val="00CB0BBC"/>
    <w:rPr>
      <w:color w:val="000080"/>
      <w:u w:val="single"/>
    </w:rPr>
  </w:style>
  <w:style w:type="paragraph" w:customStyle="1" w:styleId="ac">
    <w:name w:val="Заголовок"/>
    <w:basedOn w:val="a"/>
    <w:next w:val="a6"/>
    <w:qFormat/>
    <w:rsid w:val="00CB0BBC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CB0BBC"/>
    <w:rPr>
      <w:rFonts w:cs="Lucida Sans"/>
    </w:rPr>
  </w:style>
  <w:style w:type="paragraph" w:styleId="ae">
    <w:name w:val="caption"/>
    <w:basedOn w:val="a"/>
    <w:qFormat/>
    <w:rsid w:val="00CB0BBC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CB0BBC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CB0BBC"/>
  </w:style>
  <w:style w:type="paragraph" w:styleId="af0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12">
    <w:name w:val="Звичайний1"/>
    <w:qFormat/>
    <w:rsid w:val="00551E65"/>
    <w:pPr>
      <w:widowControl w:val="0"/>
      <w:spacing w:line="259" w:lineRule="auto"/>
      <w:ind w:firstLine="580"/>
      <w:jc w:val="both"/>
    </w:pPr>
    <w:rPr>
      <w:sz w:val="18"/>
      <w:lang w:eastAsia="ru-RU"/>
    </w:rPr>
  </w:style>
  <w:style w:type="paragraph" w:customStyle="1" w:styleId="afb">
    <w:name w:val="Вміст рамки"/>
    <w:basedOn w:val="a"/>
    <w:qFormat/>
    <w:rsid w:val="00CB0BBC"/>
  </w:style>
  <w:style w:type="numbering" w:customStyle="1" w:styleId="afc">
    <w:name w:val="Без маркерів"/>
    <w:uiPriority w:val="99"/>
    <w:semiHidden/>
    <w:unhideWhenUsed/>
    <w:qFormat/>
    <w:rsid w:val="00CB0BBC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69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2E937F-E94A-47B8-943A-121FD7F4F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4</Pages>
  <Words>3084</Words>
  <Characters>1759</Characters>
  <Application>Microsoft Office Word</Application>
  <DocSecurity>0</DocSecurity>
  <Lines>14</Lines>
  <Paragraphs>9</Paragraphs>
  <ScaleCrop>false</ScaleCrop>
  <Company>KMU</Company>
  <LinksUpToDate>false</LinksUpToDate>
  <CharactersWithSpaces>4834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147</cp:revision>
  <cp:lastPrinted>2021-03-22T13:07:00Z</cp:lastPrinted>
  <dcterms:created xsi:type="dcterms:W3CDTF">2020-07-31T05:35:00Z</dcterms:created>
  <dcterms:modified xsi:type="dcterms:W3CDTF">2025-03-05T07:03:00Z</dcterms:modified>
  <dc:language>uk-UA</dc:language>
</cp:coreProperties>
</file>